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焉耆回族自治县包尔海乡中心学校</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tabs>
          <w:tab w:val="left" w:pos="7823"/>
        </w:tabs>
        <w:spacing w:line="440" w:lineRule="exact"/>
        <w:jc w:val="left"/>
        <w:outlineLvl w:val="1"/>
        <w:rPr>
          <w:rFonts w:hint="eastAsia" w:ascii="黑体" w:hAnsi="黑体" w:eastAsia="黑体"/>
          <w:color w:val="auto"/>
          <w:kern w:val="0"/>
          <w:sz w:val="36"/>
          <w:szCs w:val="32"/>
          <w:highlight w:val="none"/>
          <w:lang w:eastAsia="zh-CN"/>
        </w:rPr>
      </w:pPr>
      <w:r>
        <w:rPr>
          <w:rFonts w:hint="eastAsia" w:ascii="黑体" w:hAnsi="黑体" w:eastAsia="黑体"/>
          <w:color w:val="auto"/>
          <w:kern w:val="0"/>
          <w:sz w:val="36"/>
          <w:szCs w:val="32"/>
          <w:highlight w:val="none"/>
          <w:lang w:eastAsia="zh-CN"/>
        </w:rPr>
        <w:tab/>
      </w: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一、关于焉耆回族自治县包尔海乡中心学校2025年收支预算情况的总体说明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二、关于焉耆回族自治县包尔海乡中心学校2025年收入预算情况说明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三、关于焉耆回族自治县包尔海乡中心学校2025年支出预算情况说明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四、关于焉耆回族自治县包尔海乡中心学校2025年财政拨款收支预算情况的总体说明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五、关于焉耆回族自治县包尔海乡中心学校2025年一般公共预算当年拨款情况说明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六、关于焉耆回族自治县包尔海乡中心学校2025年一般公共预算基本支出情况说明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七、关于焉耆回族自治县包尔海乡中心学校2025年一般公共预算项目支出情况说明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八、关于焉耆回族自治县包尔海乡中心学校2025年政府性基金预算拨款情况说明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九、关于焉耆回族自治县包尔海乡中心学校2025年国有资本经营预算拨款情况说明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十、关于焉耆回族自治县包尔海乡中心学校2025年财政拨款“三公”经费预算情况说明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十一、关于焉耆回族自治县包尔海乡中心学校2025年上年结转结余预算情况说明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1.全面贯彻落实党和国家方针、政策、法律、法规，按照国家教育教学标准，不断提高教学质量。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2.制定学校发展规划和学年、学期工作计划，并组织实施。建立、健全安全制度和应急机制，消除安全隐患。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3.负责执行国家规定的课程计划和教学大纲。遵循教学规律组织教学，积极开展教学改革，建立和完善教学管理制度，搞好教学常规管理，努力提高教学质量。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4.组织教职工政治学习，教育理论和专业文化知识学习，开展教职工业务培训，优化教师队伍结构、提高教职工综合素质。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5.发挥学校教育的主导作用，努力促进学校教育、家庭教育、社会教育的协调一致，形成“三结合”教育网络。培养学生在德、智、体、美等方面的全面发展。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6.搞好校园文化建设，优化育人环境，抓好学校治安保卫工作，维护学校和教职工的合法权益。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7.遵照国家有关规定收取费用并公开收费项目。依法管理和使用学校设施和经费。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8.完成主管部门交办的其他工作。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焉耆县包尔海乡中心学校无下属预算单位，下设6个处室，分别是：党政办、教研处、德育处、总务处、幼儿园、牧场教学点处。</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焉耆回族自治县包尔海乡中心学校编制数42，实有人数107人，其中：在职73人，减少1人；退休34人，增加1人；离休0人，减少0人。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br w:type="page"/>
      </w: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焉耆回族自治县包尔海乡中心学校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US" w:eastAsia="zh-CN"/>
              </w:rPr>
              <w:t>1619.02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US" w:eastAsia="zh-CN"/>
              </w:rPr>
              <w:t>1573.82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US" w:eastAsia="zh-CN"/>
              </w:rPr>
              <w:t>1573.82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US" w:eastAsia="zh-CN"/>
              </w:rPr>
              <w:t>1619.02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000000"/>
                <w:sz w:val="20"/>
                <w:szCs w:val="20"/>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000000"/>
                <w:sz w:val="20"/>
                <w:szCs w:val="20"/>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000000"/>
                <w:sz w:val="20"/>
                <w:szCs w:val="20"/>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45.20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000000"/>
                <w:sz w:val="20"/>
                <w:szCs w:val="20"/>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000000"/>
                <w:sz w:val="20"/>
                <w:szCs w:val="20"/>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000000"/>
                <w:sz w:val="20"/>
                <w:szCs w:val="20"/>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000000"/>
                <w:sz w:val="20"/>
                <w:szCs w:val="20"/>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45.20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000000"/>
                <w:sz w:val="20"/>
                <w:szCs w:val="20"/>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00000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00000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00000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000000"/>
                <w:sz w:val="18"/>
                <w:szCs w:val="18"/>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000000"/>
                <w:sz w:val="18"/>
                <w:szCs w:val="18"/>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1619.02</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20"/>
                <w:szCs w:val="20"/>
                <w:lang w:val="en-US" w:eastAsia="zh-CN"/>
              </w:rPr>
              <w:t>1619.02</w:t>
            </w:r>
          </w:p>
        </w:tc>
      </w:tr>
    </w:tbl>
    <w:p>
      <w:pPr>
        <w:keepNext w:val="0"/>
        <w:keepLines w:val="0"/>
        <w:widowControl/>
        <w:suppressLineNumbers w:val="0"/>
        <w:jc w:val="left"/>
        <w:textAlignment w:val="bottom"/>
        <w:rPr>
          <w:rFonts w:hint="default" w:ascii="Times New Roman" w:hAnsi="Times New Roman" w:eastAsia="方正仿宋_GBK"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焉耆回族自治县包尔海乡中心学校               </w:t>
      </w:r>
      <w:r>
        <w:rPr>
          <w:rFonts w:hint="default" w:ascii="Times New Roman" w:hAnsi="Times New Roman" w:eastAsia="仿宋_GB2312" w:cs="Times New Roman"/>
          <w:color w:val="auto"/>
          <w:kern w:val="0"/>
          <w:sz w:val="24"/>
          <w:highlight w:val="none"/>
        </w:rPr>
        <w:t>单位：万元</w:t>
      </w:r>
    </w:p>
    <w:tbl>
      <w:tblPr>
        <w:tblStyle w:val="10"/>
        <w:tblW w:w="10555" w:type="dxa"/>
        <w:tblInd w:w="-450" w:type="dxa"/>
        <w:tblLayout w:type="fixed"/>
        <w:tblCellMar>
          <w:top w:w="0" w:type="dxa"/>
          <w:left w:w="108" w:type="dxa"/>
          <w:bottom w:w="0" w:type="dxa"/>
          <w:right w:w="108" w:type="dxa"/>
        </w:tblCellMar>
      </w:tblPr>
      <w:tblGrid>
        <w:gridCol w:w="567"/>
        <w:gridCol w:w="453"/>
        <w:gridCol w:w="425"/>
        <w:gridCol w:w="709"/>
        <w:gridCol w:w="975"/>
        <w:gridCol w:w="900"/>
        <w:gridCol w:w="900"/>
        <w:gridCol w:w="780"/>
        <w:gridCol w:w="540"/>
        <w:gridCol w:w="660"/>
        <w:gridCol w:w="435"/>
        <w:gridCol w:w="825"/>
        <w:gridCol w:w="560"/>
        <w:gridCol w:w="724"/>
        <w:gridCol w:w="423"/>
        <w:gridCol w:w="679"/>
      </w:tblGrid>
      <w:tr>
        <w:tblPrEx>
          <w:tblCellMar>
            <w:top w:w="0" w:type="dxa"/>
            <w:left w:w="108" w:type="dxa"/>
            <w:bottom w:w="0" w:type="dxa"/>
            <w:right w:w="108" w:type="dxa"/>
          </w:tblCellMar>
        </w:tblPrEx>
        <w:trPr>
          <w:trHeight w:val="690" w:hRule="atLeast"/>
        </w:trPr>
        <w:tc>
          <w:tcPr>
            <w:tcW w:w="14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709"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504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5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72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2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67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4041" w:hRule="atLeast"/>
        </w:trPr>
        <w:tc>
          <w:tcPr>
            <w:tcW w:w="567"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53"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2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70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7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0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90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5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6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3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82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6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2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2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7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1053"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205</w:t>
            </w:r>
          </w:p>
        </w:tc>
        <w:tc>
          <w:tcPr>
            <w:tcW w:w="45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2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70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教育支出</w:t>
            </w:r>
          </w:p>
        </w:tc>
        <w:tc>
          <w:tcPr>
            <w:tcW w:w="975" w:type="dxa"/>
            <w:tcBorders>
              <w:top w:val="nil"/>
              <w:left w:val="nil"/>
              <w:bottom w:val="single" w:color="auto" w:sz="4" w:space="0"/>
              <w:right w:val="single" w:color="auto" w:sz="4" w:space="0"/>
            </w:tcBorders>
            <w:shd w:val="clear" w:color="000000" w:fill="FFFFFF"/>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1619.02</w:t>
            </w:r>
          </w:p>
        </w:tc>
        <w:tc>
          <w:tcPr>
            <w:tcW w:w="900" w:type="dxa"/>
            <w:tcBorders>
              <w:top w:val="nil"/>
              <w:left w:val="nil"/>
              <w:bottom w:val="single" w:color="auto" w:sz="4" w:space="0"/>
              <w:right w:val="single" w:color="auto" w:sz="4" w:space="0"/>
            </w:tcBorders>
            <w:shd w:val="clear" w:color="000000" w:fill="FFFFFF"/>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1573.82</w:t>
            </w:r>
          </w:p>
        </w:tc>
        <w:tc>
          <w:tcPr>
            <w:tcW w:w="900" w:type="dxa"/>
            <w:tcBorders>
              <w:top w:val="nil"/>
              <w:left w:val="nil"/>
              <w:bottom w:val="single" w:color="auto" w:sz="4" w:space="0"/>
              <w:right w:val="single" w:color="auto" w:sz="4" w:space="0"/>
            </w:tcBorders>
            <w:shd w:val="clear" w:color="000000" w:fill="FFFFFF"/>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1573.82</w:t>
            </w:r>
          </w:p>
        </w:tc>
        <w:tc>
          <w:tcPr>
            <w:tcW w:w="780" w:type="dxa"/>
            <w:tcBorders>
              <w:top w:val="nil"/>
              <w:left w:val="nil"/>
              <w:bottom w:val="single" w:color="auto" w:sz="4" w:space="0"/>
              <w:right w:val="single" w:color="auto" w:sz="4" w:space="0"/>
            </w:tcBorders>
            <w:shd w:val="clear" w:color="000000" w:fill="FFFFFF"/>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p>
        </w:tc>
        <w:tc>
          <w:tcPr>
            <w:tcW w:w="5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66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3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82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7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45.20</w:t>
            </w:r>
          </w:p>
        </w:tc>
        <w:tc>
          <w:tcPr>
            <w:tcW w:w="42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679"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1053"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205</w:t>
            </w:r>
          </w:p>
        </w:tc>
        <w:tc>
          <w:tcPr>
            <w:tcW w:w="45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2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70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普通教育</w:t>
            </w:r>
          </w:p>
        </w:tc>
        <w:tc>
          <w:tcPr>
            <w:tcW w:w="975"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color w:val="000000"/>
                <w:sz w:val="18"/>
                <w:szCs w:val="18"/>
                <w:lang w:val="en-US" w:eastAsia="zh-CN"/>
              </w:rPr>
              <w:t>1619.02</w:t>
            </w:r>
          </w:p>
        </w:tc>
        <w:tc>
          <w:tcPr>
            <w:tcW w:w="90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color w:val="000000"/>
                <w:sz w:val="18"/>
                <w:szCs w:val="18"/>
                <w:lang w:val="en-US" w:eastAsia="zh-CN"/>
              </w:rPr>
              <w:t>1573.82</w:t>
            </w:r>
          </w:p>
        </w:tc>
        <w:tc>
          <w:tcPr>
            <w:tcW w:w="90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color w:val="000000"/>
                <w:sz w:val="18"/>
                <w:szCs w:val="18"/>
                <w:lang w:val="en-US" w:eastAsia="zh-CN"/>
              </w:rPr>
              <w:t>1573.82</w:t>
            </w:r>
          </w:p>
        </w:tc>
        <w:tc>
          <w:tcPr>
            <w:tcW w:w="78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5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66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3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82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6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72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45.20</w:t>
            </w:r>
          </w:p>
        </w:tc>
        <w:tc>
          <w:tcPr>
            <w:tcW w:w="42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679"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1053"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205</w:t>
            </w:r>
          </w:p>
        </w:tc>
        <w:tc>
          <w:tcPr>
            <w:tcW w:w="45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2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70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小学教育</w:t>
            </w:r>
          </w:p>
        </w:tc>
        <w:tc>
          <w:tcPr>
            <w:tcW w:w="975"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1619.02</w:t>
            </w:r>
          </w:p>
        </w:tc>
        <w:tc>
          <w:tcPr>
            <w:tcW w:w="90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1573.82</w:t>
            </w:r>
          </w:p>
        </w:tc>
        <w:tc>
          <w:tcPr>
            <w:tcW w:w="90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1573.82</w:t>
            </w:r>
          </w:p>
        </w:tc>
        <w:tc>
          <w:tcPr>
            <w:tcW w:w="78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p>
        </w:tc>
        <w:tc>
          <w:tcPr>
            <w:tcW w:w="5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kern w:val="2"/>
                <w:sz w:val="18"/>
                <w:szCs w:val="18"/>
                <w:lang w:val="en-US" w:eastAsia="zh-CN" w:bidi="ar-SA"/>
              </w:rPr>
            </w:pPr>
          </w:p>
        </w:tc>
        <w:tc>
          <w:tcPr>
            <w:tcW w:w="66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kern w:val="2"/>
                <w:sz w:val="18"/>
                <w:szCs w:val="18"/>
                <w:lang w:val="en-US" w:eastAsia="zh-CN" w:bidi="ar-SA"/>
              </w:rPr>
            </w:pPr>
          </w:p>
        </w:tc>
        <w:tc>
          <w:tcPr>
            <w:tcW w:w="43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kern w:val="2"/>
                <w:sz w:val="18"/>
                <w:szCs w:val="18"/>
                <w:lang w:val="en-US" w:eastAsia="zh-CN" w:bidi="ar-SA"/>
              </w:rPr>
            </w:pPr>
          </w:p>
        </w:tc>
        <w:tc>
          <w:tcPr>
            <w:tcW w:w="82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kern w:val="2"/>
                <w:sz w:val="18"/>
                <w:szCs w:val="18"/>
                <w:lang w:val="en-US" w:eastAsia="zh-CN" w:bidi="ar-SA"/>
              </w:rPr>
            </w:pPr>
          </w:p>
        </w:tc>
        <w:tc>
          <w:tcPr>
            <w:tcW w:w="56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kern w:val="2"/>
                <w:sz w:val="18"/>
                <w:szCs w:val="18"/>
                <w:lang w:val="en-US" w:eastAsia="zh-CN" w:bidi="ar-SA"/>
              </w:rPr>
            </w:pPr>
          </w:p>
        </w:tc>
        <w:tc>
          <w:tcPr>
            <w:tcW w:w="72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45.20</w:t>
            </w:r>
          </w:p>
        </w:tc>
        <w:tc>
          <w:tcPr>
            <w:tcW w:w="42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679"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1118" w:hRule="atLeast"/>
        </w:trPr>
        <w:tc>
          <w:tcPr>
            <w:tcW w:w="5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bCs/>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975"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1619.02</w:t>
            </w:r>
          </w:p>
        </w:tc>
        <w:tc>
          <w:tcPr>
            <w:tcW w:w="90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1573.82</w:t>
            </w:r>
          </w:p>
        </w:tc>
        <w:tc>
          <w:tcPr>
            <w:tcW w:w="90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1573.82</w:t>
            </w:r>
          </w:p>
        </w:tc>
        <w:tc>
          <w:tcPr>
            <w:tcW w:w="78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p>
        </w:tc>
        <w:tc>
          <w:tcPr>
            <w:tcW w:w="5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kern w:val="2"/>
                <w:sz w:val="18"/>
                <w:szCs w:val="18"/>
                <w:lang w:val="en-US" w:eastAsia="zh-CN" w:bidi="ar-SA"/>
              </w:rPr>
            </w:pPr>
          </w:p>
        </w:tc>
        <w:tc>
          <w:tcPr>
            <w:tcW w:w="66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kern w:val="2"/>
                <w:sz w:val="18"/>
                <w:szCs w:val="18"/>
                <w:lang w:val="en-US" w:eastAsia="zh-CN" w:bidi="ar-SA"/>
              </w:rPr>
            </w:pPr>
          </w:p>
        </w:tc>
        <w:tc>
          <w:tcPr>
            <w:tcW w:w="43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kern w:val="2"/>
                <w:sz w:val="18"/>
                <w:szCs w:val="18"/>
                <w:lang w:val="en-US" w:eastAsia="zh-CN" w:bidi="ar-SA"/>
              </w:rPr>
            </w:pPr>
          </w:p>
        </w:tc>
        <w:tc>
          <w:tcPr>
            <w:tcW w:w="82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kern w:val="2"/>
                <w:sz w:val="18"/>
                <w:szCs w:val="18"/>
                <w:lang w:val="en-US" w:eastAsia="zh-CN" w:bidi="ar-SA"/>
              </w:rPr>
            </w:pPr>
          </w:p>
        </w:tc>
        <w:tc>
          <w:tcPr>
            <w:tcW w:w="56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kern w:val="2"/>
                <w:sz w:val="18"/>
                <w:szCs w:val="18"/>
                <w:lang w:val="en-US" w:eastAsia="zh-CN" w:bidi="ar-SA"/>
              </w:rPr>
            </w:pPr>
          </w:p>
        </w:tc>
        <w:tc>
          <w:tcPr>
            <w:tcW w:w="72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45.20</w:t>
            </w:r>
          </w:p>
        </w:tc>
        <w:tc>
          <w:tcPr>
            <w:tcW w:w="42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 xml:space="preserve">焉耆回族自治县包尔海乡中心学校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fixed"/>
        <w:tblCellMar>
          <w:top w:w="0" w:type="dxa"/>
          <w:left w:w="108" w:type="dxa"/>
          <w:bottom w:w="0" w:type="dxa"/>
          <w:right w:w="108" w:type="dxa"/>
        </w:tblCellMar>
      </w:tblPr>
      <w:tblGrid>
        <w:gridCol w:w="533"/>
        <w:gridCol w:w="428"/>
        <w:gridCol w:w="428"/>
        <w:gridCol w:w="2536"/>
        <w:gridCol w:w="1816"/>
        <w:gridCol w:w="1817"/>
        <w:gridCol w:w="1862"/>
      </w:tblGrid>
      <w:tr>
        <w:tblPrEx>
          <w:tblCellMar>
            <w:top w:w="0" w:type="dxa"/>
            <w:left w:w="108" w:type="dxa"/>
            <w:bottom w:w="0" w:type="dxa"/>
            <w:right w:w="108" w:type="dxa"/>
          </w:tblCellMar>
        </w:tblPrEx>
        <w:trPr>
          <w:trHeight w:val="328" w:hRule="atLeast"/>
        </w:trPr>
        <w:tc>
          <w:tcPr>
            <w:tcW w:w="392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495"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8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3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1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1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3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1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5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教育支出</w:t>
            </w:r>
          </w:p>
        </w:tc>
        <w:tc>
          <w:tcPr>
            <w:tcW w:w="1816" w:type="dxa"/>
            <w:tcBorders>
              <w:top w:val="nil"/>
              <w:left w:val="nil"/>
              <w:bottom w:val="single" w:color="auto" w:sz="4" w:space="0"/>
              <w:right w:val="single" w:color="auto" w:sz="4" w:space="0"/>
            </w:tcBorders>
            <w:shd w:val="clear" w:color="000000" w:fill="FFFFFF"/>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1619.02</w:t>
            </w:r>
          </w:p>
        </w:tc>
        <w:tc>
          <w:tcPr>
            <w:tcW w:w="1817" w:type="dxa"/>
            <w:tcBorders>
              <w:top w:val="nil"/>
              <w:left w:val="nil"/>
              <w:bottom w:val="single" w:color="auto" w:sz="4" w:space="0"/>
              <w:right w:val="single" w:color="auto" w:sz="4" w:space="0"/>
            </w:tcBorders>
            <w:shd w:val="clear" w:color="000000" w:fill="FFFFFF"/>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1619.02</w:t>
            </w:r>
          </w:p>
        </w:tc>
        <w:tc>
          <w:tcPr>
            <w:tcW w:w="1862"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5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普通教育</w:t>
            </w:r>
          </w:p>
        </w:tc>
        <w:tc>
          <w:tcPr>
            <w:tcW w:w="1816"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color w:val="000000"/>
                <w:sz w:val="20"/>
                <w:szCs w:val="20"/>
                <w:lang w:val="en-US" w:eastAsia="zh-CN"/>
              </w:rPr>
              <w:t>1619.02</w:t>
            </w:r>
          </w:p>
        </w:tc>
        <w:tc>
          <w:tcPr>
            <w:tcW w:w="1817"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color w:val="000000"/>
                <w:sz w:val="20"/>
                <w:szCs w:val="20"/>
                <w:lang w:val="en-US" w:eastAsia="zh-CN"/>
              </w:rPr>
              <w:t>1619.02</w:t>
            </w:r>
          </w:p>
        </w:tc>
        <w:tc>
          <w:tcPr>
            <w:tcW w:w="18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25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小学教育</w:t>
            </w:r>
          </w:p>
        </w:tc>
        <w:tc>
          <w:tcPr>
            <w:tcW w:w="1816"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1619.02</w:t>
            </w:r>
          </w:p>
        </w:tc>
        <w:tc>
          <w:tcPr>
            <w:tcW w:w="1817"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1619.02</w:t>
            </w:r>
          </w:p>
        </w:tc>
        <w:tc>
          <w:tcPr>
            <w:tcW w:w="18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2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2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2536"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16"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1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62"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5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b/>
                <w:bCs/>
                <w:color w:val="auto"/>
                <w:kern w:val="0"/>
                <w:sz w:val="20"/>
                <w:szCs w:val="20"/>
                <w:highlight w:val="none"/>
              </w:rPr>
              <w:t>合  计</w:t>
            </w:r>
          </w:p>
        </w:tc>
        <w:tc>
          <w:tcPr>
            <w:tcW w:w="1816"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1619.02</w:t>
            </w:r>
          </w:p>
        </w:tc>
        <w:tc>
          <w:tcPr>
            <w:tcW w:w="1817"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1619.02</w:t>
            </w:r>
          </w:p>
        </w:tc>
        <w:tc>
          <w:tcPr>
            <w:tcW w:w="18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0"/>
                <w:szCs w:val="20"/>
                <w:lang w:val="en-US" w:eastAsia="zh-CN" w:bidi="ar-SA"/>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焉耆回族自治县包尔海乡中心学校                 </w:t>
      </w:r>
      <w:r>
        <w:rPr>
          <w:rFonts w:hint="default" w:ascii="Times New Roman" w:hAnsi="Times New Roman" w:eastAsia="仿宋_GB2312" w:cs="Times New Roman"/>
          <w:color w:val="auto"/>
          <w:kern w:val="0"/>
          <w:sz w:val="24"/>
          <w:szCs w:val="24"/>
          <w:highlight w:val="none"/>
        </w:rPr>
        <w:t xml:space="preserve"> 单位：万元</w:t>
      </w:r>
    </w:p>
    <w:tbl>
      <w:tblPr>
        <w:tblStyle w:val="10"/>
        <w:tblW w:w="9870" w:type="dxa"/>
        <w:tblInd w:w="-240" w:type="dxa"/>
        <w:tblLayout w:type="fixed"/>
        <w:tblCellMar>
          <w:top w:w="0" w:type="dxa"/>
          <w:left w:w="108" w:type="dxa"/>
          <w:bottom w:w="0" w:type="dxa"/>
          <w:right w:w="108" w:type="dxa"/>
        </w:tblCellMar>
      </w:tblPr>
      <w:tblGrid>
        <w:gridCol w:w="1921"/>
        <w:gridCol w:w="947"/>
        <w:gridCol w:w="2736"/>
        <w:gridCol w:w="1066"/>
        <w:gridCol w:w="1000"/>
        <w:gridCol w:w="1067"/>
        <w:gridCol w:w="1133"/>
      </w:tblGrid>
      <w:tr>
        <w:tblPrEx>
          <w:tblCellMar>
            <w:top w:w="0" w:type="dxa"/>
            <w:left w:w="108" w:type="dxa"/>
            <w:bottom w:w="0" w:type="dxa"/>
            <w:right w:w="108" w:type="dxa"/>
          </w:tblCellMar>
        </w:tblPrEx>
        <w:trPr>
          <w:trHeight w:val="318" w:hRule="atLeast"/>
        </w:trPr>
        <w:tc>
          <w:tcPr>
            <w:tcW w:w="2868"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7002"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50" w:hRule="atLeast"/>
        </w:trPr>
        <w:tc>
          <w:tcPr>
            <w:tcW w:w="19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0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1573.82</w:t>
            </w: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1573.82</w:t>
            </w: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4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20"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1573.82　</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1573.82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lang w:val="en-US" w:eastAsia="zh-CN"/>
              </w:rPr>
            </w:pPr>
          </w:p>
          <w:p>
            <w:pPr>
              <w:pStyle w:val="2"/>
              <w:rPr>
                <w:rFonts w:hint="default"/>
                <w:lang w:val="en-US" w:eastAsia="zh-CN"/>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nil"/>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36"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0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33" w:type="dxa"/>
            <w:tcBorders>
              <w:top w:val="nil"/>
              <w:left w:val="single" w:color="auto" w:sz="4" w:space="0"/>
              <w:bottom w:val="single" w:color="auto" w:sz="4" w:space="0"/>
              <w:right w:val="single" w:color="auto" w:sz="4" w:space="0"/>
            </w:tcBorders>
            <w:shd w:val="clear" w:color="auto" w:fill="auto"/>
            <w:noWrap w:val="0"/>
            <w:vAlign w:val="center"/>
          </w:tcPr>
          <w:p>
            <w:pPr>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47" w:hRule="exact"/>
        </w:trPr>
        <w:tc>
          <w:tcPr>
            <w:tcW w:w="19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1573.82</w:t>
            </w:r>
            <w:r>
              <w:rPr>
                <w:rFonts w:hint="default" w:ascii="Times New Roman" w:hAnsi="Times New Roman" w:eastAsia="仿宋_GB2312" w:cs="Times New Roman"/>
                <w:b/>
                <w:bCs/>
                <w:color w:val="auto"/>
                <w:kern w:val="0"/>
                <w:sz w:val="20"/>
                <w:szCs w:val="20"/>
                <w:highlight w:val="none"/>
              </w:rPr>
              <w:t>　</w:t>
            </w:r>
          </w:p>
        </w:tc>
        <w:tc>
          <w:tcPr>
            <w:tcW w:w="273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22"/>
                <w:szCs w:val="22"/>
                <w:highlight w:val="none"/>
                <w:lang w:val="en-US" w:eastAsia="zh-CN"/>
              </w:rPr>
              <w:t>1573.82</w:t>
            </w:r>
            <w:r>
              <w:rPr>
                <w:rFonts w:hint="default" w:ascii="Times New Roman" w:hAnsi="Times New Roman" w:eastAsia="仿宋_GB2312" w:cs="Times New Roman"/>
                <w:b w:val="0"/>
                <w:bCs w:val="0"/>
                <w:color w:val="auto"/>
                <w:kern w:val="0"/>
                <w:sz w:val="22"/>
                <w:szCs w:val="22"/>
                <w:highlight w:val="none"/>
              </w:rPr>
              <w:t>　</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22"/>
                <w:szCs w:val="22"/>
                <w:highlight w:val="none"/>
                <w:lang w:val="en-US" w:eastAsia="zh-CN"/>
              </w:rPr>
              <w:t>1573.82</w:t>
            </w:r>
            <w:r>
              <w:rPr>
                <w:rFonts w:hint="default" w:ascii="Times New Roman" w:hAnsi="Times New Roman" w:eastAsia="仿宋_GB2312" w:cs="Times New Roman"/>
                <w:b w:val="0"/>
                <w:bCs w:val="0"/>
                <w:color w:val="auto"/>
                <w:kern w:val="0"/>
                <w:sz w:val="22"/>
                <w:szCs w:val="22"/>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　</w:t>
            </w:r>
          </w:p>
        </w:tc>
        <w:tc>
          <w:tcPr>
            <w:tcW w:w="11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fixed"/>
        <w:tblCellMar>
          <w:top w:w="0" w:type="dxa"/>
          <w:left w:w="108" w:type="dxa"/>
          <w:bottom w:w="0" w:type="dxa"/>
          <w:right w:w="108" w:type="dxa"/>
        </w:tblCellMar>
      </w:tblPr>
      <w:tblGrid>
        <w:gridCol w:w="533"/>
        <w:gridCol w:w="499"/>
        <w:gridCol w:w="502"/>
        <w:gridCol w:w="2488"/>
        <w:gridCol w:w="1673"/>
        <w:gridCol w:w="1830"/>
        <w:gridCol w:w="1689"/>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焉耆回族自治县包尔海乡中心学校                </w:t>
            </w:r>
            <w:r>
              <w:rPr>
                <w:rFonts w:hint="default" w:ascii="Times New Roman" w:hAnsi="Times New Roman" w:eastAsia="仿宋_GB2312" w:cs="Times New Roman"/>
                <w:color w:val="auto"/>
                <w:kern w:val="0"/>
                <w:sz w:val="24"/>
                <w:szCs w:val="24"/>
                <w:highlight w:val="none"/>
              </w:rPr>
              <w:t>单位：万元</w:t>
            </w:r>
          </w:p>
        </w:tc>
      </w:tr>
      <w:tr>
        <w:tblPrEx>
          <w:tblCellMar>
            <w:top w:w="0" w:type="dxa"/>
            <w:left w:w="108" w:type="dxa"/>
            <w:bottom w:w="0" w:type="dxa"/>
            <w:right w:w="108" w:type="dxa"/>
          </w:tblCellMar>
        </w:tblPrEx>
        <w:trPr>
          <w:trHeight w:val="405" w:hRule="atLeast"/>
        </w:trPr>
        <w:tc>
          <w:tcPr>
            <w:tcW w:w="402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19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3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8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8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48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教育支出</w:t>
            </w:r>
          </w:p>
        </w:tc>
        <w:tc>
          <w:tcPr>
            <w:tcW w:w="1673" w:type="dxa"/>
            <w:tcBorders>
              <w:top w:val="nil"/>
              <w:left w:val="nil"/>
              <w:bottom w:val="single" w:color="auto" w:sz="4" w:space="0"/>
              <w:right w:val="single" w:color="auto" w:sz="4" w:space="0"/>
            </w:tcBorders>
            <w:shd w:val="clear" w:color="000000" w:fill="FFFFFF"/>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1573.82</w:t>
            </w:r>
          </w:p>
        </w:tc>
        <w:tc>
          <w:tcPr>
            <w:tcW w:w="1830" w:type="dxa"/>
            <w:tcBorders>
              <w:top w:val="nil"/>
              <w:left w:val="nil"/>
              <w:bottom w:val="single" w:color="auto" w:sz="4" w:space="0"/>
              <w:right w:val="single" w:color="auto" w:sz="4" w:space="0"/>
            </w:tcBorders>
            <w:shd w:val="clear" w:color="000000" w:fill="FFFFFF"/>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1573.82</w:t>
            </w:r>
          </w:p>
        </w:tc>
        <w:tc>
          <w:tcPr>
            <w:tcW w:w="1689"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2"/>
                <w:sz w:val="12"/>
                <w:szCs w:val="12"/>
                <w:u w:val="none"/>
                <w:lang w:val="en-US" w:eastAsia="zh-CN" w:bidi="ar-SA"/>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48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普通教育</w:t>
            </w:r>
          </w:p>
        </w:tc>
        <w:tc>
          <w:tcPr>
            <w:tcW w:w="1673"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color w:val="000000"/>
                <w:sz w:val="20"/>
                <w:szCs w:val="20"/>
                <w:lang w:val="en-US" w:eastAsia="zh-CN"/>
              </w:rPr>
              <w:t>1573.82</w:t>
            </w:r>
          </w:p>
        </w:tc>
        <w:tc>
          <w:tcPr>
            <w:tcW w:w="183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color w:val="000000"/>
                <w:sz w:val="20"/>
                <w:szCs w:val="20"/>
                <w:lang w:val="en-US" w:eastAsia="zh-CN"/>
              </w:rPr>
              <w:t>1573.82</w:t>
            </w:r>
          </w:p>
        </w:tc>
        <w:tc>
          <w:tcPr>
            <w:tcW w:w="16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2"/>
                <w:sz w:val="12"/>
                <w:szCs w:val="12"/>
                <w:u w:val="none"/>
                <w:lang w:val="en-US" w:eastAsia="zh-CN" w:bidi="ar-SA"/>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248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小学教育</w:t>
            </w:r>
          </w:p>
        </w:tc>
        <w:tc>
          <w:tcPr>
            <w:tcW w:w="1673"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1573.82</w:t>
            </w:r>
          </w:p>
        </w:tc>
        <w:tc>
          <w:tcPr>
            <w:tcW w:w="183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1573.82</w:t>
            </w:r>
          </w:p>
        </w:tc>
        <w:tc>
          <w:tcPr>
            <w:tcW w:w="16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2"/>
                <w:szCs w:val="24"/>
                <w:lang w:val="en-US" w:eastAsia="zh-CN" w:bidi="ar-SA"/>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8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73"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1573.82</w:t>
            </w:r>
          </w:p>
        </w:tc>
        <w:tc>
          <w:tcPr>
            <w:tcW w:w="1830"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1573.82</w:t>
            </w:r>
          </w:p>
        </w:tc>
        <w:tc>
          <w:tcPr>
            <w:tcW w:w="16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2"/>
                <w:szCs w:val="24"/>
                <w:lang w:val="en-US" w:eastAsia="zh-CN" w:bidi="ar-SA"/>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309"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szCs w:val="24"/>
                <w:highlight w:val="none"/>
              </w:rPr>
            </w:pPr>
          </w:p>
          <w:p>
            <w:pPr>
              <w:widowControl/>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val="en-US" w:eastAsia="zh-CN"/>
              </w:rPr>
              <w:t>焉耆回族自治县包尔海乡中心学校</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p>
            <w:pPr>
              <w:widowControl/>
              <w:rPr>
                <w:rFonts w:hint="default" w:ascii="Times New Roman" w:hAnsi="Times New Roman" w:eastAsia="仿宋_GB2312" w:cs="Times New Roman"/>
                <w:color w:val="auto"/>
                <w:kern w:val="0"/>
                <w:sz w:val="24"/>
                <w:szCs w:val="24"/>
                <w:highlight w:val="none"/>
              </w:rPr>
            </w:pP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工资福利支出</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1543.53</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1543.53</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01</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基本工资</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391.92</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391.92</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02</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津贴补贴</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696.97</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696.97</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08</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机关事业单位基本养老保险缴费</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165.79</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165.79</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09</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职业年金缴费</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82.90</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82.90</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10</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职工基本医疗保险缴费</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74.2</w:t>
            </w:r>
            <w:r>
              <w:rPr>
                <w:rFonts w:hint="eastAsia" w:ascii="Times New Roman" w:hAnsi="Times New Roman" w:eastAsia="仿宋_GB2312" w:cs="Times New Roman"/>
                <w:color w:val="000000"/>
                <w:sz w:val="20"/>
                <w:szCs w:val="20"/>
                <w:lang w:val="en-US" w:eastAsia="zh-CN"/>
              </w:rPr>
              <w:t>7</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74.2</w:t>
            </w:r>
            <w:r>
              <w:rPr>
                <w:rFonts w:hint="eastAsia" w:ascii="Times New Roman" w:hAnsi="Times New Roman" w:eastAsia="仿宋_GB2312" w:cs="Times New Roman"/>
                <w:color w:val="000000"/>
                <w:sz w:val="20"/>
                <w:szCs w:val="20"/>
                <w:lang w:val="en-US" w:eastAsia="zh-CN"/>
              </w:rPr>
              <w:t>7</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12</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其他社会保障缴费</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7.33</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7.33</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13</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住房公积金</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124.35</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124.35</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302</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商品与服务支出</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19.77</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19.77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302</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08</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取暖费</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16.39</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16.39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302</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16</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培训费</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3.00</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3.00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302</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28</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工会经费</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0.20</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302</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29</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福利费</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0.18</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0.18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303</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对个人和家庭补助</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10.52</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10.52</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303</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02</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退休费</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7.64</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7.64</w:t>
            </w:r>
          </w:p>
        </w:tc>
        <w:tc>
          <w:tcPr>
            <w:tcW w:w="170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303</w:t>
            </w:r>
          </w:p>
        </w:tc>
        <w:tc>
          <w:tcPr>
            <w:tcW w:w="577"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05</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生活补助</w:t>
            </w: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2.88</w:t>
            </w: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2.88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1573.82</w:t>
            </w: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1554.05</w:t>
            </w: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19.77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val="en-US" w:eastAsia="zh-CN"/>
              </w:rPr>
              <w:t>焉耆回族自治县包尔海乡中心学校</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p>
            <w:pPr>
              <w:widowControl/>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right"/>
              <w:outlineLvl w:val="1"/>
              <w:rPr>
                <w:rFonts w:hint="default" w:ascii="Times New Roman" w:hAnsi="Times New Roman" w:eastAsia="仿宋_GB2312" w:cs="Times New Roman"/>
                <w:color w:val="auto"/>
                <w:kern w:val="0"/>
                <w:szCs w:val="21"/>
                <w:highlight w:val="none"/>
                <w:lang w:val="en-US" w:eastAsia="zh-CN"/>
              </w:rPr>
            </w:pPr>
          </w:p>
        </w:tc>
        <w:tc>
          <w:tcPr>
            <w:tcW w:w="561" w:type="dxa"/>
            <w:noWrap w:val="0"/>
            <w:vAlign w:val="top"/>
          </w:tcPr>
          <w:p>
            <w:pPr>
              <w:widowControl/>
              <w:jc w:val="right"/>
              <w:outlineLvl w:val="1"/>
              <w:rPr>
                <w:rFonts w:hint="default" w:ascii="Times New Roman" w:hAnsi="Times New Roman" w:eastAsia="仿宋_GB2312" w:cs="Times New Roman"/>
                <w:color w:val="auto"/>
                <w:kern w:val="0"/>
                <w:szCs w:val="21"/>
                <w:highlight w:val="none"/>
                <w:lang w:val="en-US" w:eastAsia="zh-CN"/>
              </w:rPr>
            </w:pPr>
          </w:p>
        </w:tc>
        <w:tc>
          <w:tcPr>
            <w:tcW w:w="530" w:type="dxa"/>
            <w:noWrap w:val="0"/>
            <w:vAlign w:val="top"/>
          </w:tcPr>
          <w:p>
            <w:pPr>
              <w:widowControl/>
              <w:jc w:val="right"/>
              <w:outlineLvl w:val="1"/>
              <w:rPr>
                <w:rFonts w:hint="default" w:ascii="Times New Roman" w:hAnsi="Times New Roman" w:eastAsia="仿宋_GB2312" w:cs="Times New Roman"/>
                <w:color w:val="auto"/>
                <w:kern w:val="0"/>
                <w:szCs w:val="21"/>
                <w:highlight w:val="none"/>
                <w:lang w:val="en-US" w:eastAsia="zh-CN"/>
              </w:rPr>
            </w:pPr>
          </w:p>
        </w:tc>
        <w:tc>
          <w:tcPr>
            <w:tcW w:w="639" w:type="dxa"/>
            <w:noWrap w:val="0"/>
            <w:vAlign w:val="top"/>
          </w:tcPr>
          <w:p>
            <w:pPr>
              <w:widowControl/>
              <w:jc w:val="right"/>
              <w:outlineLvl w:val="1"/>
              <w:rPr>
                <w:rFonts w:hint="default" w:ascii="Times New Roman" w:hAnsi="Times New Roman" w:eastAsia="仿宋_GB2312" w:cs="Times New Roman"/>
                <w:color w:val="auto"/>
                <w:kern w:val="0"/>
                <w:szCs w:val="21"/>
                <w:highlight w:val="none"/>
                <w:lang w:val="en-US" w:eastAsia="zh-CN"/>
              </w:rPr>
            </w:pPr>
          </w:p>
        </w:tc>
        <w:tc>
          <w:tcPr>
            <w:tcW w:w="639" w:type="dxa"/>
            <w:noWrap w:val="0"/>
            <w:vAlign w:val="top"/>
          </w:tcPr>
          <w:p>
            <w:pPr>
              <w:widowControl/>
              <w:jc w:val="right"/>
              <w:outlineLvl w:val="1"/>
              <w:rPr>
                <w:rFonts w:hint="default" w:ascii="Times New Roman" w:hAnsi="Times New Roman" w:eastAsia="仿宋_GB2312" w:cs="Times New Roman"/>
                <w:color w:val="auto"/>
                <w:kern w:val="0"/>
                <w:szCs w:val="21"/>
                <w:highlight w:val="none"/>
                <w:lang w:val="en-US" w:eastAsia="zh-CN"/>
              </w:rPr>
            </w:pPr>
          </w:p>
        </w:tc>
        <w:tc>
          <w:tcPr>
            <w:tcW w:w="618" w:type="dxa"/>
            <w:noWrap w:val="0"/>
            <w:vAlign w:val="top"/>
          </w:tcPr>
          <w:p>
            <w:pPr>
              <w:widowControl/>
              <w:jc w:val="right"/>
              <w:outlineLvl w:val="1"/>
              <w:rPr>
                <w:rFonts w:hint="default" w:ascii="Times New Roman" w:hAnsi="Times New Roman" w:eastAsia="仿宋_GB2312" w:cs="Times New Roman"/>
                <w:color w:val="auto"/>
                <w:kern w:val="0"/>
                <w:szCs w:val="21"/>
                <w:highlight w:val="none"/>
                <w:lang w:val="en-US" w:eastAsia="zh-CN"/>
              </w:rPr>
            </w:pPr>
          </w:p>
        </w:tc>
        <w:tc>
          <w:tcPr>
            <w:tcW w:w="419" w:type="dxa"/>
            <w:noWrap w:val="0"/>
            <w:vAlign w:val="top"/>
          </w:tcPr>
          <w:p>
            <w:pPr>
              <w:widowControl/>
              <w:jc w:val="right"/>
              <w:outlineLvl w:val="1"/>
              <w:rPr>
                <w:rFonts w:hint="default" w:ascii="Times New Roman" w:hAnsi="Times New Roman" w:eastAsia="仿宋_GB2312" w:cs="Times New Roman"/>
                <w:color w:val="auto"/>
                <w:kern w:val="0"/>
                <w:szCs w:val="21"/>
                <w:highlight w:val="none"/>
                <w:lang w:val="en-US" w:eastAsia="zh-CN"/>
              </w:rPr>
            </w:pPr>
          </w:p>
        </w:tc>
        <w:tc>
          <w:tcPr>
            <w:tcW w:w="618" w:type="dxa"/>
            <w:noWrap w:val="0"/>
            <w:vAlign w:val="top"/>
          </w:tcPr>
          <w:p>
            <w:pPr>
              <w:widowControl/>
              <w:jc w:val="right"/>
              <w:outlineLvl w:val="1"/>
              <w:rPr>
                <w:rFonts w:hint="default" w:ascii="Times New Roman" w:hAnsi="Times New Roman" w:eastAsia="仿宋_GB2312" w:cs="Times New Roman"/>
                <w:color w:val="auto"/>
                <w:kern w:val="0"/>
                <w:szCs w:val="21"/>
                <w:highlight w:val="none"/>
                <w:lang w:val="en-US" w:eastAsia="zh-CN"/>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Cs w:val="21"/>
                <w:highlight w:val="none"/>
                <w:lang w:val="en-US" w:eastAsia="zh-CN"/>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Cs w:val="21"/>
                <w:highlight w:val="none"/>
                <w:lang w:val="en-US" w:eastAsia="zh-CN"/>
              </w:rPr>
            </w:pPr>
          </w:p>
        </w:tc>
        <w:tc>
          <w:tcPr>
            <w:tcW w:w="465" w:type="dxa"/>
            <w:gridSpan w:val="2"/>
            <w:noWrap w:val="0"/>
            <w:vAlign w:val="top"/>
          </w:tcPr>
          <w:p>
            <w:pPr>
              <w:widowControl/>
              <w:jc w:val="right"/>
              <w:outlineLvl w:val="1"/>
              <w:rPr>
                <w:rFonts w:hint="default" w:ascii="Times New Roman" w:hAnsi="Times New Roman" w:eastAsia="仿宋_GB2312" w:cs="Times New Roman"/>
                <w:color w:val="auto"/>
                <w:kern w:val="0"/>
                <w:szCs w:val="21"/>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widowControl/>
        <w:spacing w:line="280" w:lineRule="exact"/>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eastAsia="zh-CN"/>
        </w:rPr>
        <w:t>：202</w:t>
      </w:r>
      <w:r>
        <w:rPr>
          <w:rFonts w:hint="default"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w:t>
      </w:r>
      <w:r>
        <w:rPr>
          <w:rFonts w:hint="default" w:ascii="Times New Roman" w:hAnsi="Times New Roman" w:eastAsia="仿宋_GB2312" w:cs="Times New Roman"/>
          <w:b/>
          <w:color w:val="auto"/>
          <w:kern w:val="0"/>
          <w:sz w:val="28"/>
          <w:szCs w:val="32"/>
          <w:highlight w:val="none"/>
          <w:lang w:eastAsia="zh-CN"/>
        </w:rPr>
        <w:t>本单位</w:t>
      </w:r>
      <w:r>
        <w:rPr>
          <w:rFonts w:hint="eastAsia" w:ascii="Times New Roman" w:hAnsi="Times New Roman" w:eastAsia="仿宋_GB2312" w:cs="Times New Roman"/>
          <w:b/>
          <w:color w:val="auto"/>
          <w:kern w:val="0"/>
          <w:sz w:val="28"/>
          <w:szCs w:val="32"/>
          <w:highlight w:val="none"/>
          <w:lang w:eastAsia="zh-CN"/>
        </w:rPr>
        <w:t>无</w:t>
      </w:r>
      <w:r>
        <w:rPr>
          <w:rFonts w:hint="default" w:ascii="Times New Roman" w:hAnsi="Times New Roman" w:eastAsia="仿宋_GB2312" w:cs="Times New Roman"/>
          <w:b/>
          <w:color w:val="auto"/>
          <w:kern w:val="0"/>
          <w:sz w:val="28"/>
          <w:szCs w:val="32"/>
          <w:highlight w:val="none"/>
          <w:lang w:eastAsia="zh-CN"/>
        </w:rPr>
        <w:t>一般公共</w:t>
      </w:r>
      <w:r>
        <w:rPr>
          <w:rFonts w:hint="default" w:ascii="Times New Roman" w:hAnsi="Times New Roman" w:eastAsia="仿宋_GB2312" w:cs="Times New Roman"/>
          <w:b/>
          <w:color w:val="auto"/>
          <w:kern w:val="0"/>
          <w:sz w:val="28"/>
          <w:szCs w:val="32"/>
          <w:highlight w:val="none"/>
        </w:rPr>
        <w:t>预算</w:t>
      </w:r>
      <w:r>
        <w:rPr>
          <w:rFonts w:hint="default" w:ascii="Times New Roman" w:hAnsi="Times New Roman" w:eastAsia="仿宋_GB2312" w:cs="Times New Roman"/>
          <w:b/>
          <w:color w:val="auto"/>
          <w:kern w:val="0"/>
          <w:sz w:val="28"/>
          <w:szCs w:val="32"/>
          <w:highlight w:val="none"/>
          <w:lang w:eastAsia="zh-CN"/>
        </w:rPr>
        <w:t>项目支出</w:t>
      </w:r>
      <w:r>
        <w:rPr>
          <w:rFonts w:hint="default" w:ascii="Times New Roman" w:hAnsi="Times New Roman" w:eastAsia="仿宋_GB2312" w:cs="Times New Roman"/>
          <w:b/>
          <w:color w:val="auto"/>
          <w:kern w:val="0"/>
          <w:sz w:val="28"/>
          <w:szCs w:val="32"/>
          <w:highlight w:val="none"/>
        </w:rPr>
        <w:t>，</w:t>
      </w:r>
      <w:r>
        <w:rPr>
          <w:rFonts w:hint="default" w:ascii="Times New Roman" w:hAnsi="Times New Roman" w:eastAsia="仿宋_GB2312" w:cs="Times New Roman"/>
          <w:b/>
          <w:color w:val="auto"/>
          <w:kern w:val="0"/>
          <w:sz w:val="28"/>
          <w:szCs w:val="32"/>
          <w:highlight w:val="none"/>
          <w:lang w:eastAsia="zh-CN"/>
        </w:rPr>
        <w:t>此</w:t>
      </w:r>
      <w:r>
        <w:rPr>
          <w:rFonts w:hint="default" w:ascii="Times New Roman" w:hAnsi="Times New Roman" w:eastAsia="仿宋_GB2312" w:cs="Times New Roman"/>
          <w:b/>
          <w:color w:val="auto"/>
          <w:kern w:val="0"/>
          <w:sz w:val="28"/>
          <w:szCs w:val="32"/>
          <w:highlight w:val="none"/>
        </w:rPr>
        <w:t>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焉耆回族自治县包尔海乡中心学校</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lang w:val="en-US" w:eastAsia="zh-CN"/>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lang w:val="en-US" w:eastAsia="zh-CN"/>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lang w:val="en-US" w:eastAsia="zh-CN"/>
        </w:rPr>
        <w:t>备注：2025年本单位</w:t>
      </w:r>
      <w:r>
        <w:rPr>
          <w:rFonts w:hint="eastAsia" w:ascii="Times New Roman" w:hAnsi="Times New Roman"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CN"/>
        </w:rPr>
        <w:t>政府性基金预算，此表为空表。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2"/>
          <w:szCs w:val="22"/>
          <w:highlight w:val="none"/>
          <w:lang w:val="en-US" w:eastAsia="zh-CN"/>
        </w:rPr>
        <w:t xml:space="preserve">焉耆回族自治县包尔海乡中心学校 </w:t>
      </w:r>
      <w:r>
        <w:rPr>
          <w:rFonts w:hint="eastAsia" w:ascii="仿宋_GB2312" w:hAnsi="宋体" w:eastAsia="仿宋_GB2312"/>
          <w:color w:val="auto"/>
          <w:kern w:val="0"/>
          <w:sz w:val="18"/>
          <w:szCs w:val="18"/>
          <w:highlight w:val="none"/>
          <w:lang w:val="en-US" w:eastAsia="zh-CN"/>
        </w:rPr>
        <w:t xml:space="preserve">     </w:t>
      </w:r>
      <w:r>
        <w:rPr>
          <w:rFonts w:hint="eastAsia" w:ascii="仿宋_GB2312" w:hAnsi="宋体" w:eastAsia="仿宋_GB2312"/>
          <w:color w:val="auto"/>
          <w:kern w:val="0"/>
          <w:sz w:val="13"/>
          <w:szCs w:val="13"/>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仿宋_GB2312" w:hAnsi="宋体" w:eastAsia="仿宋_GB2312" w:cs="宋体"/>
                <w:color w:val="auto"/>
                <w:kern w:val="0"/>
                <w:sz w:val="24"/>
                <w:highlight w:val="none"/>
                <w:lang w:val="en-US" w:eastAsia="zh-CN"/>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仿宋_GB2312" w:hAnsi="宋体" w:eastAsia="仿宋_GB2312" w:cs="宋体"/>
                <w:color w:val="auto"/>
                <w:kern w:val="0"/>
                <w:sz w:val="24"/>
                <w:highlight w:val="none"/>
                <w:lang w:val="en-US" w:eastAsia="zh-CN"/>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w:t>
      </w:r>
      <w:r>
        <w:rPr>
          <w:rFonts w:hint="eastAsia"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lang w:val="en-US" w:eastAsia="zh-CN"/>
        </w:rPr>
        <w:t>年</w:t>
      </w:r>
      <w:r>
        <w:rPr>
          <w:rFonts w:hint="eastAsia" w:eastAsia="仿宋_GB2312" w:cs="Times New Roman"/>
          <w:b/>
          <w:color w:val="auto"/>
          <w:kern w:val="0"/>
          <w:sz w:val="28"/>
          <w:szCs w:val="32"/>
          <w:highlight w:val="none"/>
          <w:lang w:val="en-US" w:eastAsia="zh-CN"/>
        </w:rPr>
        <w:t>本单位无</w:t>
      </w:r>
      <w:r>
        <w:rPr>
          <w:rFonts w:hint="default" w:ascii="Times New Roman" w:hAnsi="Times New Roman" w:eastAsia="仿宋_GB2312" w:cs="Times New Roman"/>
          <w:b/>
          <w:color w:val="auto"/>
          <w:kern w:val="0"/>
          <w:sz w:val="28"/>
          <w:szCs w:val="32"/>
          <w:highlight w:val="none"/>
          <w:lang w:val="en-US" w:eastAsia="zh-CN"/>
        </w:rPr>
        <w:t>国有资本经营预算，此表为空表。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both"/>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szCs w:val="24"/>
          <w:highlight w:val="none"/>
          <w:lang w:val="en-US" w:eastAsia="zh-CN"/>
        </w:rPr>
        <w:t>焉耆回族自治县包尔海乡中心学校</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lang w:val="en-US" w:eastAsia="zh-CN"/>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lang w:val="en-US" w:eastAsia="zh-CN"/>
              </w:rPr>
            </w:pPr>
          </w:p>
        </w:tc>
        <w:tc>
          <w:tcPr>
            <w:tcW w:w="1504" w:type="dxa"/>
            <w:noWrap w:val="0"/>
            <w:vAlign w:val="top"/>
          </w:tcPr>
          <w:p>
            <w:pPr>
              <w:widowControl/>
              <w:outlineLvl w:val="1"/>
              <w:rPr>
                <w:rFonts w:hint="default" w:ascii="仿宋_GB2312" w:hAnsi="宋体" w:eastAsia="仿宋_GB2312"/>
                <w:b/>
                <w:color w:val="auto"/>
                <w:kern w:val="0"/>
                <w:sz w:val="28"/>
                <w:szCs w:val="32"/>
                <w:highlight w:val="none"/>
                <w:vertAlign w:val="baseline"/>
                <w:lang w:val="en-US" w:eastAsia="zh-CN"/>
              </w:rPr>
            </w:pPr>
          </w:p>
        </w:tc>
        <w:tc>
          <w:tcPr>
            <w:tcW w:w="1528" w:type="dxa"/>
            <w:noWrap w:val="0"/>
            <w:vAlign w:val="top"/>
          </w:tcPr>
          <w:p>
            <w:pPr>
              <w:widowControl/>
              <w:outlineLvl w:val="1"/>
              <w:rPr>
                <w:rFonts w:hint="default" w:ascii="仿宋_GB2312" w:hAnsi="宋体" w:eastAsia="仿宋_GB2312"/>
                <w:b/>
                <w:color w:val="auto"/>
                <w:kern w:val="0"/>
                <w:sz w:val="28"/>
                <w:szCs w:val="32"/>
                <w:highlight w:val="none"/>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bCs/>
          <w:sz w:val="28"/>
          <w:szCs w:val="28"/>
        </w:rPr>
        <w:t>202</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年</w:t>
      </w:r>
      <w:r>
        <w:rPr>
          <w:rFonts w:hint="eastAsia" w:eastAsia="仿宋_GB2312" w:cs="Times New Roman"/>
          <w:b/>
          <w:bCs/>
          <w:sz w:val="28"/>
          <w:szCs w:val="28"/>
          <w:lang w:eastAsia="zh-CN"/>
        </w:rPr>
        <w:t>本单位</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预算中</w:t>
      </w:r>
      <w:r>
        <w:rPr>
          <w:rFonts w:hint="eastAsia" w:eastAsia="仿宋_GB2312" w:cs="Times New Roman"/>
          <w:b/>
          <w:bCs/>
          <w:sz w:val="28"/>
          <w:szCs w:val="28"/>
          <w:lang w:eastAsia="zh-CN"/>
        </w:rPr>
        <w:t>无</w:t>
      </w:r>
      <w:r>
        <w:rPr>
          <w:rFonts w:hint="default" w:ascii="Times New Roman" w:hAnsi="Times New Roman" w:eastAsia="仿宋_GB2312" w:cs="Times New Roman"/>
          <w:b/>
          <w:bCs/>
          <w:sz w:val="28"/>
          <w:szCs w:val="28"/>
        </w:rPr>
        <w:t>“三公”经费支出,此表为空表。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left"/>
        <w:rPr>
          <w:rFonts w:hint="eastAsia" w:ascii="仿宋_GB2312" w:hAnsi="宋体" w:eastAsia="仿宋_GB2312"/>
          <w:b/>
          <w:color w:val="auto"/>
          <w:kern w:val="0"/>
          <w:sz w:val="24"/>
          <w:szCs w:val="24"/>
          <w:highlight w:val="none"/>
          <w:lang w:val="en-US" w:eastAsia="zh-Hans"/>
        </w:rPr>
      </w:pPr>
      <w:r>
        <w:rPr>
          <w:rFonts w:hint="eastAsia" w:ascii="仿宋_GB2312" w:hAnsi="宋体" w:eastAsia="仿宋_GB2312"/>
          <w:color w:val="auto"/>
          <w:kern w:val="0"/>
          <w:sz w:val="24"/>
          <w:szCs w:val="24"/>
          <w:highlight w:val="none"/>
        </w:rPr>
        <w:t>编制单位：</w:t>
      </w:r>
      <w:r>
        <w:rPr>
          <w:rFonts w:hint="eastAsia" w:ascii="仿宋_GB2312" w:hAnsi="宋体" w:eastAsia="仿宋_GB2312"/>
          <w:color w:val="auto"/>
          <w:kern w:val="0"/>
          <w:sz w:val="24"/>
          <w:szCs w:val="24"/>
          <w:highlight w:val="none"/>
          <w:lang w:val="en-US" w:eastAsia="zh-CN"/>
        </w:rPr>
        <w:t xml:space="preserve">焉耆回族自治县包尔海乡中心学校                 </w:t>
      </w:r>
      <w:r>
        <w:rPr>
          <w:rFonts w:hint="eastAsia" w:ascii="仿宋_GB2312" w:hAnsi="宋体" w:eastAsia="仿宋_GB2312"/>
          <w:color w:val="auto"/>
          <w:kern w:val="0"/>
          <w:sz w:val="24"/>
          <w:szCs w:val="24"/>
          <w:highlight w:val="none"/>
        </w:rPr>
        <w:t>单位：万元</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olor w:val="auto"/>
          <w:kern w:val="0"/>
          <w:sz w:val="24"/>
          <w:szCs w:val="24"/>
          <w:highlight w:val="none"/>
        </w:rPr>
        <w:t xml:space="preserve"> </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left"/>
              <w:rPr>
                <w:rFonts w:hint="default" w:ascii="仿宋" w:hAnsi="仿宋" w:eastAsia="仿宋" w:cs="仿宋_GB2312"/>
                <w:bCs/>
                <w:color w:val="auto"/>
                <w:kern w:val="0"/>
                <w:sz w:val="21"/>
                <w:szCs w:val="21"/>
                <w:highlight w:val="none"/>
                <w:lang w:val="en-US" w:eastAsia="zh-CN"/>
              </w:rPr>
            </w:pPr>
          </w:p>
        </w:tc>
        <w:tc>
          <w:tcPr>
            <w:tcW w:w="890" w:type="dxa"/>
            <w:noWrap w:val="0"/>
            <w:vAlign w:val="center"/>
          </w:tcPr>
          <w:p>
            <w:pPr>
              <w:spacing w:line="600" w:lineRule="exact"/>
              <w:jc w:val="left"/>
              <w:rPr>
                <w:rFonts w:hint="default" w:ascii="仿宋" w:hAnsi="仿宋" w:eastAsia="仿宋" w:cs="仿宋_GB2312"/>
                <w:bCs/>
                <w:color w:val="auto"/>
                <w:kern w:val="0"/>
                <w:sz w:val="21"/>
                <w:szCs w:val="21"/>
                <w:highlight w:val="none"/>
                <w:lang w:val="en-US" w:eastAsia="zh-CN"/>
              </w:rPr>
            </w:pPr>
          </w:p>
        </w:tc>
        <w:tc>
          <w:tcPr>
            <w:tcW w:w="714" w:type="dxa"/>
            <w:noWrap w:val="0"/>
            <w:vAlign w:val="center"/>
          </w:tcPr>
          <w:p>
            <w:pPr>
              <w:spacing w:line="600" w:lineRule="exact"/>
              <w:jc w:val="left"/>
              <w:rPr>
                <w:rFonts w:hint="default" w:ascii="仿宋" w:hAnsi="仿宋" w:eastAsia="仿宋" w:cs="仿宋_GB2312"/>
                <w:bCs/>
                <w:color w:val="auto"/>
                <w:kern w:val="0"/>
                <w:sz w:val="21"/>
                <w:szCs w:val="21"/>
                <w:highlight w:val="none"/>
                <w:lang w:val="en-US" w:eastAsia="zh-CN"/>
              </w:rPr>
            </w:pPr>
          </w:p>
        </w:tc>
        <w:tc>
          <w:tcPr>
            <w:tcW w:w="1211" w:type="dxa"/>
            <w:noWrap w:val="0"/>
            <w:vAlign w:val="center"/>
          </w:tcPr>
          <w:p>
            <w:pPr>
              <w:spacing w:line="600" w:lineRule="exact"/>
              <w:jc w:val="left"/>
              <w:rPr>
                <w:rFonts w:hint="default" w:ascii="仿宋" w:hAnsi="仿宋" w:eastAsia="仿宋" w:cs="仿宋_GB2312"/>
                <w:bCs/>
                <w:color w:val="auto"/>
                <w:kern w:val="0"/>
                <w:sz w:val="21"/>
                <w:szCs w:val="21"/>
                <w:highlight w:val="none"/>
                <w:lang w:val="en-US" w:eastAsia="zh-CN"/>
              </w:rPr>
            </w:pPr>
          </w:p>
        </w:tc>
        <w:tc>
          <w:tcPr>
            <w:tcW w:w="797" w:type="dxa"/>
            <w:noWrap w:val="0"/>
            <w:vAlign w:val="center"/>
          </w:tcPr>
          <w:p>
            <w:pPr>
              <w:spacing w:line="600" w:lineRule="exact"/>
              <w:jc w:val="left"/>
              <w:rPr>
                <w:rFonts w:hint="default" w:ascii="仿宋" w:hAnsi="仿宋" w:eastAsia="仿宋" w:cs="仿宋_GB2312"/>
                <w:bCs/>
                <w:color w:val="auto"/>
                <w:kern w:val="0"/>
                <w:sz w:val="21"/>
                <w:szCs w:val="21"/>
                <w:highlight w:val="none"/>
                <w:lang w:val="en-US" w:eastAsia="zh-CN"/>
              </w:rPr>
            </w:pPr>
          </w:p>
        </w:tc>
        <w:tc>
          <w:tcPr>
            <w:tcW w:w="723" w:type="dxa"/>
            <w:noWrap w:val="0"/>
            <w:vAlign w:val="center"/>
          </w:tcPr>
          <w:p>
            <w:pPr>
              <w:spacing w:line="600" w:lineRule="exact"/>
              <w:jc w:val="left"/>
              <w:rPr>
                <w:rFonts w:hint="default" w:ascii="仿宋" w:hAnsi="仿宋" w:eastAsia="仿宋" w:cs="仿宋_GB2312"/>
                <w:bCs/>
                <w:color w:val="auto"/>
                <w:kern w:val="0"/>
                <w:sz w:val="21"/>
                <w:szCs w:val="21"/>
                <w:highlight w:val="none"/>
                <w:lang w:val="en-US" w:eastAsia="zh-CN"/>
              </w:rPr>
            </w:pPr>
          </w:p>
        </w:tc>
        <w:tc>
          <w:tcPr>
            <w:tcW w:w="881" w:type="dxa"/>
            <w:noWrap w:val="0"/>
            <w:vAlign w:val="center"/>
          </w:tcPr>
          <w:p>
            <w:pPr>
              <w:spacing w:line="600" w:lineRule="exact"/>
              <w:jc w:val="left"/>
              <w:rPr>
                <w:rFonts w:hint="default" w:ascii="仿宋" w:hAnsi="仿宋" w:eastAsia="仿宋" w:cs="仿宋_GB2312"/>
                <w:bCs/>
                <w:color w:val="auto"/>
                <w:kern w:val="0"/>
                <w:sz w:val="21"/>
                <w:szCs w:val="21"/>
                <w:highlight w:val="none"/>
                <w:lang w:val="en-US" w:eastAsia="zh-CN"/>
              </w:rPr>
            </w:pPr>
          </w:p>
        </w:tc>
        <w:tc>
          <w:tcPr>
            <w:tcW w:w="1211" w:type="dxa"/>
            <w:noWrap w:val="0"/>
            <w:vAlign w:val="center"/>
          </w:tcPr>
          <w:p>
            <w:pPr>
              <w:spacing w:line="600" w:lineRule="exact"/>
              <w:jc w:val="left"/>
              <w:rPr>
                <w:rFonts w:hint="default" w:ascii="仿宋" w:hAnsi="仿宋" w:eastAsia="仿宋" w:cs="仿宋_GB2312"/>
                <w:bCs/>
                <w:color w:val="auto"/>
                <w:kern w:val="0"/>
                <w:sz w:val="21"/>
                <w:szCs w:val="21"/>
                <w:highlight w:val="none"/>
                <w:lang w:val="en-US" w:eastAsia="zh-CN"/>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bCs/>
          <w:sz w:val="28"/>
          <w:szCs w:val="28"/>
          <w:lang w:val="en-US" w:eastAsia="zh-CN"/>
        </w:rPr>
        <w:t xml:space="preserve"> 20</w:t>
      </w:r>
      <w:r>
        <w:rPr>
          <w:rFonts w:hint="default" w:ascii="Times New Roman" w:hAnsi="Times New Roman" w:eastAsia="仿宋_GB2312" w:cs="Times New Roman"/>
          <w:b/>
          <w:bCs/>
          <w:sz w:val="28"/>
          <w:szCs w:val="28"/>
        </w:rPr>
        <w:t>2</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年</w:t>
      </w:r>
      <w:r>
        <w:rPr>
          <w:rFonts w:hint="eastAsia" w:eastAsia="仿宋_GB2312" w:cs="Times New Roman"/>
          <w:b/>
          <w:bCs/>
          <w:sz w:val="28"/>
          <w:szCs w:val="28"/>
          <w:lang w:eastAsia="zh-CN"/>
        </w:rPr>
        <w:t>本单位</w:t>
      </w:r>
      <w:r>
        <w:rPr>
          <w:rFonts w:hint="default" w:ascii="Times New Roman" w:hAnsi="Times New Roman" w:eastAsia="仿宋_GB2312" w:cs="Times New Roman"/>
          <w:b/>
          <w:bCs/>
          <w:sz w:val="28"/>
          <w:szCs w:val="28"/>
        </w:rPr>
        <w:t>无上年结转结余情况,此表为空表。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一、关于焉耆回族自治县包尔海乡中心学校2025年收支预算情况的总体说明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按照全口径预算的原则，焉耆回族自治县包尔海乡中心学校2025年所有收入和支出均纳入单位预算管理。收支总预算1619.02万元。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二、关于焉耆回族自治县包尔海乡中心学校2025年收入预算情况说明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焉耆回族自治县包尔海乡中心学校收入预算1619.02万元，其中：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一般公共预算1573.82万元，占97.21%，比上年预算减少76.29万元，下降4.62%，主要原因：</w:t>
      </w:r>
      <w:r>
        <w:rPr>
          <w:rFonts w:hint="default" w:ascii="Times New Roman" w:hAnsi="Times New Roman" w:eastAsia="仿宋_GB2312" w:cs="Times New Roman"/>
          <w:sz w:val="32"/>
          <w:szCs w:val="32"/>
          <w:highlight w:val="none"/>
          <w:lang w:eastAsia="zh-CN"/>
        </w:rPr>
        <w:t>教师人数和学生人数减少</w:t>
      </w:r>
      <w:r>
        <w:rPr>
          <w:rFonts w:hint="eastAsia" w:eastAsia="仿宋_GB2312" w:cs="Times New Roman"/>
          <w:sz w:val="32"/>
          <w:szCs w:val="32"/>
          <w:highlight w:val="none"/>
          <w:lang w:eastAsia="zh-CN"/>
        </w:rPr>
        <w:t>，相应经费减少。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Hans"/>
        </w:rPr>
        <w:t>上级</w:t>
      </w:r>
      <w:r>
        <w:rPr>
          <w:rFonts w:hint="default" w:ascii="Times New Roman" w:hAnsi="Times New Roman" w:eastAsia="仿宋_GB2312" w:cs="Times New Roman"/>
          <w:color w:val="auto"/>
          <w:kern w:val="0"/>
          <w:sz w:val="32"/>
          <w:szCs w:val="32"/>
          <w:highlight w:val="none"/>
        </w:rPr>
        <w:t>一般公共预算</w:t>
      </w:r>
      <w:r>
        <w:rPr>
          <w:rFonts w:hint="default" w:ascii="Times New Roman" w:hAnsi="Times New Roman" w:eastAsia="仿宋_GB2312" w:cs="Times New Roman"/>
          <w:color w:val="auto"/>
          <w:kern w:val="0"/>
          <w:sz w:val="32"/>
          <w:szCs w:val="32"/>
          <w:highlight w:val="none"/>
          <w:lang w:val="en-US" w:eastAsia="zh-Hans"/>
        </w:rPr>
        <w:t>安排的转移支付资金</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67.89</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 xml:space="preserve">主要原因是本年度项目预算资金由主管部门负责填报，故项目支出减少。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单位资金45.2</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万元，占2.79%，比上年预算增加28.2万元，增长165.88%，主要原因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rPr>
        <w:t>今年增加</w:t>
      </w:r>
      <w:r>
        <w:rPr>
          <w:rFonts w:hint="default" w:ascii="Times New Roman" w:hAnsi="Times New Roman" w:eastAsia="仿宋_GB2312" w:cs="Times New Roman"/>
          <w:color w:val="auto"/>
          <w:kern w:val="0"/>
          <w:sz w:val="32"/>
          <w:szCs w:val="32"/>
          <w:highlight w:val="none"/>
          <w:lang w:val="en-US" w:eastAsia="zh-CN"/>
        </w:rPr>
        <w:t>自筹伙食费和工会资金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三、关于焉耆回族自治县包尔海乡中心学校2025年支出预算情况说明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焉耆回族自治县包尔海乡中心学校</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 xml:space="preserve">年支出预算    </w:t>
      </w:r>
      <w:r>
        <w:rPr>
          <w:rFonts w:hint="default" w:ascii="Times New Roman" w:hAnsi="Times New Roman" w:eastAsia="仿宋_GB2312" w:cs="Times New Roman"/>
          <w:color w:val="auto"/>
          <w:kern w:val="0"/>
          <w:sz w:val="32"/>
          <w:szCs w:val="32"/>
          <w:highlight w:val="none"/>
          <w:lang w:val="en-US" w:eastAsia="zh-CN"/>
        </w:rPr>
        <w:t>1619.02</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1619.02</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rPr>
        <w:t>%，比上年预算减少</w:t>
      </w:r>
      <w:r>
        <w:rPr>
          <w:rFonts w:hint="eastAsia" w:eastAsia="仿宋_GB2312" w:cs="Times New Roman"/>
          <w:color w:val="auto"/>
          <w:kern w:val="0"/>
          <w:sz w:val="32"/>
          <w:szCs w:val="32"/>
          <w:highlight w:val="none"/>
          <w:lang w:val="en-US" w:eastAsia="zh-CN"/>
        </w:rPr>
        <w:t>48.09</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2.88</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人员及公用经费</w:t>
      </w:r>
      <w:r>
        <w:rPr>
          <w:rFonts w:hint="default" w:ascii="Times New Roman" w:hAnsi="Times New Roman" w:eastAsia="仿宋_GB2312" w:cs="Times New Roman"/>
          <w:sz w:val="32"/>
          <w:szCs w:val="32"/>
          <w:highlight w:val="none"/>
          <w:lang w:eastAsia="zh-CN"/>
        </w:rPr>
        <w:t>减少</w:t>
      </w:r>
      <w:r>
        <w:rPr>
          <w:rFonts w:hint="eastAsia" w:eastAsia="仿宋_GB2312" w:cs="Times New Roman"/>
          <w:sz w:val="32"/>
          <w:szCs w:val="32"/>
          <w:highlight w:val="none"/>
          <w:lang w:eastAsia="zh-CN"/>
        </w:rPr>
        <w:t>，相应经费减少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w:t>
      </w:r>
      <w:r>
        <w:rPr>
          <w:rFonts w:hint="eastAsia" w:eastAsia="仿宋_GB2312" w:cs="Times New Roman"/>
          <w:color w:val="auto"/>
          <w:kern w:val="0"/>
          <w:sz w:val="32"/>
          <w:szCs w:val="32"/>
          <w:highlight w:val="none"/>
          <w:lang w:eastAsia="zh-CN"/>
        </w:rPr>
        <w:t>减少</w:t>
      </w:r>
      <w:r>
        <w:rPr>
          <w:rFonts w:hint="eastAsia" w:eastAsia="仿宋_GB2312" w:cs="Times New Roman"/>
          <w:color w:val="auto"/>
          <w:kern w:val="0"/>
          <w:sz w:val="32"/>
          <w:szCs w:val="32"/>
          <w:highlight w:val="none"/>
          <w:lang w:val="en-US" w:eastAsia="zh-CN"/>
        </w:rPr>
        <w:t>67.89</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四、关于焉耆回族自治县包尔海乡中心学校2025年财政拨款收支预算情况的总体说明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2025年财政拨款收支总预算1573.82万元。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收入预算包括：一般公共预算拨款1573.82万元。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一般公共预算支出包括:教育支出</w:t>
      </w:r>
      <w:r>
        <w:rPr>
          <w:rFonts w:hint="eastAsia" w:eastAsia="仿宋_GB2312" w:cs="Times New Roman"/>
          <w:color w:val="auto"/>
          <w:kern w:val="0"/>
          <w:sz w:val="32"/>
          <w:szCs w:val="32"/>
          <w:highlight w:val="none"/>
          <w:lang w:val="en-US" w:eastAsia="zh-CN"/>
        </w:rPr>
        <w:t>1573.82</w:t>
      </w:r>
      <w:r>
        <w:rPr>
          <w:rFonts w:hint="default" w:ascii="Times New Roman" w:hAnsi="Times New Roman" w:eastAsia="仿宋_GB2312" w:cs="Times New Roman"/>
          <w:color w:val="auto"/>
          <w:kern w:val="0"/>
          <w:sz w:val="32"/>
          <w:szCs w:val="32"/>
          <w:highlight w:val="none"/>
          <w:lang w:val="en-US" w:eastAsia="zh-CN"/>
        </w:rPr>
        <w:t>万元，主要用于：</w:t>
      </w:r>
      <w:r>
        <w:rPr>
          <w:rStyle w:val="16"/>
          <w:rFonts w:hint="default" w:ascii="Times New Roman" w:hAnsi="Times New Roman" w:eastAsia="仿宋_GB2312" w:cs="Times New Roman"/>
          <w:szCs w:val="22"/>
          <w:lang w:eastAsia="zh-CN"/>
        </w:rPr>
        <w:t>教职工工资福利支出、社保缴费、住房公积金、退休费、</w:t>
      </w:r>
      <w:r>
        <w:rPr>
          <w:rStyle w:val="16"/>
          <w:rFonts w:hint="default" w:ascii="Times New Roman" w:hAnsi="Times New Roman" w:cs="Times New Roman"/>
          <w:szCs w:val="22"/>
        </w:rPr>
        <w:t>其他对个人和家庭的补助</w:t>
      </w:r>
      <w:r>
        <w:rPr>
          <w:rStyle w:val="16"/>
          <w:rFonts w:hint="default" w:ascii="Times New Roman" w:hAnsi="Times New Roman" w:eastAsia="仿宋_GB2312" w:cs="Times New Roman"/>
          <w:szCs w:val="22"/>
          <w:lang w:eastAsia="zh-CN"/>
        </w:rPr>
        <w:t>支出及公用经费支出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五、关于焉耆回族自治县包尔海乡中心学校2025年一般公共预算当年拨款情况说明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焉耆回族自治县包尔海乡中心学校2025年一般公共预算拨款合计1573.82万元,其中：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基本支出1573.82万元，占100%，比上年预算数减少76.29万元，下降4.62%，主要原因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sz w:val="32"/>
          <w:szCs w:val="32"/>
          <w:highlight w:val="none"/>
          <w:lang w:eastAsia="zh-CN"/>
        </w:rPr>
        <w:t>教师人数和学生人数减少</w:t>
      </w:r>
      <w:r>
        <w:rPr>
          <w:rFonts w:hint="eastAsia" w:eastAsia="仿宋_GB2312" w:cs="Times New Roman"/>
          <w:sz w:val="32"/>
          <w:szCs w:val="32"/>
          <w:highlight w:val="none"/>
          <w:lang w:eastAsia="zh-CN"/>
        </w:rPr>
        <w:t>，人员经费及公用经费减少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w:t>
      </w:r>
      <w:r>
        <w:rPr>
          <w:rFonts w:hint="eastAsia" w:eastAsia="仿宋_GB2312" w:cs="Times New Roman"/>
          <w:color w:val="auto"/>
          <w:kern w:val="0"/>
          <w:sz w:val="32"/>
          <w:szCs w:val="32"/>
          <w:highlight w:val="none"/>
          <w:lang w:eastAsia="zh-CN"/>
        </w:rPr>
        <w:t>减少</w:t>
      </w:r>
      <w:r>
        <w:rPr>
          <w:rFonts w:hint="eastAsia" w:eastAsia="仿宋_GB2312" w:cs="Times New Roman"/>
          <w:color w:val="auto"/>
          <w:kern w:val="0"/>
          <w:sz w:val="32"/>
          <w:szCs w:val="32"/>
          <w:highlight w:val="none"/>
          <w:lang w:val="en-US" w:eastAsia="zh-CN"/>
        </w:rPr>
        <w:t>67.89</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w:t>
      </w:r>
      <w:r>
        <w:rPr>
          <w:rFonts w:hint="eastAsia" w:eastAsia="仿宋_GB2312" w:cs="Times New Roman"/>
          <w:color w:val="auto"/>
          <w:sz w:val="32"/>
          <w:szCs w:val="32"/>
          <w:highlight w:val="none"/>
          <w:lang w:val="en-US" w:eastAsia="zh-CN"/>
        </w:rPr>
        <w:t>1573.82</w:t>
      </w:r>
      <w:r>
        <w:rPr>
          <w:rFonts w:hint="default" w:ascii="Times New Roman" w:hAnsi="Times New Roman" w:eastAsia="仿宋_GB2312" w:cs="Times New Roman"/>
          <w:color w:val="auto"/>
          <w:sz w:val="32"/>
          <w:szCs w:val="32"/>
          <w:highlight w:val="none"/>
          <w:lang w:val="en-US" w:eastAsia="zh-CN"/>
        </w:rPr>
        <w:t>万元，占100%</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1、教育支出（类）普通教育（款）小学教育（项）:2025年预算数为</w:t>
      </w:r>
      <w:r>
        <w:rPr>
          <w:rFonts w:hint="eastAsia" w:eastAsia="仿宋_GB2312" w:cs="Times New Roman"/>
          <w:color w:val="auto"/>
          <w:kern w:val="0"/>
          <w:sz w:val="32"/>
          <w:szCs w:val="32"/>
          <w:highlight w:val="none"/>
          <w:lang w:val="en-US" w:eastAsia="zh-CN"/>
        </w:rPr>
        <w:t>1573.82</w:t>
      </w:r>
      <w:r>
        <w:rPr>
          <w:rFonts w:hint="default"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增加851.57</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增长117.91</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val="en-US" w:eastAsia="zh-CN"/>
        </w:rPr>
        <w:t>教育支出（类）普通教育（款）</w:t>
      </w:r>
      <w:r>
        <w:rPr>
          <w:rFonts w:hint="eastAsia" w:eastAsia="仿宋_GB2312" w:cs="Times New Roman"/>
          <w:color w:val="auto"/>
          <w:kern w:val="0"/>
          <w:sz w:val="32"/>
          <w:szCs w:val="32"/>
          <w:highlight w:val="none"/>
          <w:lang w:val="en-US" w:eastAsia="zh-CN"/>
        </w:rPr>
        <w:t>学前</w:t>
      </w:r>
      <w:r>
        <w:rPr>
          <w:rFonts w:hint="default" w:ascii="Times New Roman" w:hAnsi="Times New Roman" w:eastAsia="仿宋_GB2312" w:cs="Times New Roman"/>
          <w:color w:val="auto"/>
          <w:kern w:val="0"/>
          <w:sz w:val="32"/>
          <w:szCs w:val="32"/>
          <w:highlight w:val="none"/>
          <w:lang w:val="en-US" w:eastAsia="zh-CN"/>
        </w:rPr>
        <w:t>教育（项）</w:t>
      </w:r>
      <w:r>
        <w:rPr>
          <w:rFonts w:hint="eastAsia" w:eastAsia="仿宋_GB2312" w:cs="Times New Roman"/>
          <w:color w:val="auto"/>
          <w:kern w:val="0"/>
          <w:sz w:val="32"/>
          <w:szCs w:val="32"/>
          <w:highlight w:val="none"/>
          <w:lang w:val="en-US" w:eastAsia="zh-CN"/>
        </w:rPr>
        <w:t>合并至此类款项</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教育支出（类）普通教育（款）</w:t>
      </w:r>
      <w:r>
        <w:rPr>
          <w:rFonts w:hint="eastAsia" w:ascii="Times New Roman" w:hAnsi="Times New Roman" w:eastAsia="仿宋_GB2312" w:cs="Times New Roman"/>
          <w:color w:val="auto"/>
          <w:kern w:val="0"/>
          <w:sz w:val="32"/>
          <w:szCs w:val="32"/>
          <w:highlight w:val="none"/>
          <w:lang w:val="en-US" w:eastAsia="zh-CN"/>
        </w:rPr>
        <w:t>学前</w:t>
      </w:r>
      <w:r>
        <w:rPr>
          <w:rFonts w:hint="default" w:ascii="Times New Roman" w:hAnsi="Times New Roman" w:eastAsia="仿宋_GB2312" w:cs="Times New Roman"/>
          <w:color w:val="auto"/>
          <w:kern w:val="0"/>
          <w:sz w:val="32"/>
          <w:szCs w:val="32"/>
          <w:highlight w:val="none"/>
          <w:lang w:val="en-US" w:eastAsia="zh-CN"/>
        </w:rPr>
        <w:t>教育（项）:2025年预算数为</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w:t>
      </w:r>
      <w:r>
        <w:rPr>
          <w:rFonts w:hint="eastAsia" w:ascii="Times New Roman" w:hAnsi="Times New Roman" w:eastAsia="仿宋_GB2312" w:cs="Times New Roman"/>
          <w:color w:val="auto"/>
          <w:kern w:val="0"/>
          <w:sz w:val="32"/>
          <w:szCs w:val="32"/>
          <w:highlight w:val="none"/>
          <w:lang w:val="en-US" w:eastAsia="zh-CN"/>
        </w:rPr>
        <w:t>减少</w:t>
      </w:r>
      <w:r>
        <w:rPr>
          <w:rFonts w:hint="eastAsia" w:eastAsia="仿宋_GB2312" w:cs="Times New Roman"/>
          <w:color w:val="auto"/>
          <w:kern w:val="0"/>
          <w:sz w:val="32"/>
          <w:szCs w:val="32"/>
          <w:highlight w:val="none"/>
          <w:lang w:val="en-US" w:eastAsia="zh-CN"/>
        </w:rPr>
        <w:t>995.75</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下降100</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本年度此类款项合并至</w:t>
      </w:r>
      <w:r>
        <w:rPr>
          <w:rFonts w:hint="default" w:ascii="Times New Roman" w:hAnsi="Times New Roman" w:eastAsia="仿宋_GB2312" w:cs="Times New Roman"/>
          <w:color w:val="auto"/>
          <w:kern w:val="0"/>
          <w:sz w:val="32"/>
          <w:szCs w:val="32"/>
          <w:highlight w:val="none"/>
          <w:lang w:val="en-US" w:eastAsia="zh-CN"/>
        </w:rPr>
        <w:t>教育支出（类）普通教育（款）小学教育（项）</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六、关于焉耆回族自治县包尔海乡中心学校2025年一般公共预算基本支出情况说明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焉耆回族自治县包尔海乡中心学校2025年一般公共预算基本支出1573.82万元，其中：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w:t>
      </w:r>
      <w:r>
        <w:rPr>
          <w:rFonts w:hint="eastAsia" w:eastAsia="仿宋_GB2312" w:cs="Times New Roman"/>
          <w:color w:val="auto"/>
          <w:spacing w:val="-6"/>
          <w:kern w:val="0"/>
          <w:sz w:val="32"/>
          <w:szCs w:val="32"/>
          <w:highlight w:val="none"/>
          <w:lang w:val="en-US" w:eastAsia="zh-CN"/>
        </w:rPr>
        <w:t>1573.82万元，主要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包括:基本工资、津贴补贴、机关事业单位基本养老保险缴费、职业年金缴费、职工基本医疗保险缴费、其他社会保障缴费、住房公积金、退休费</w:t>
      </w:r>
      <w:r>
        <w:rPr>
          <w:rFonts w:hint="eastAsia"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w:t>
      </w:r>
      <w:r>
        <w:rPr>
          <w:rFonts w:hint="eastAsia" w:eastAsia="仿宋_GB2312" w:cs="Times New Roman"/>
          <w:color w:val="auto"/>
          <w:spacing w:val="-6"/>
          <w:kern w:val="0"/>
          <w:sz w:val="32"/>
          <w:szCs w:val="32"/>
          <w:highlight w:val="none"/>
          <w:lang w:val="en-US" w:eastAsia="zh-CN"/>
        </w:rPr>
        <w:t>19.77万元，主要</w:t>
      </w:r>
      <w:r>
        <w:rPr>
          <w:rFonts w:hint="default" w:ascii="Times New Roman" w:hAnsi="Times New Roman" w:eastAsia="仿宋_GB2312" w:cs="Times New Roman"/>
          <w:color w:val="auto"/>
          <w:spacing w:val="-6"/>
          <w:kern w:val="0"/>
          <w:sz w:val="32"/>
          <w:szCs w:val="32"/>
          <w:highlight w:val="none"/>
          <w:lang w:val="en-US" w:eastAsia="zh-CN"/>
        </w:rPr>
        <w:t>包括:取暖费、</w:t>
      </w:r>
      <w:r>
        <w:rPr>
          <w:rFonts w:hint="eastAsia" w:eastAsia="仿宋_GB2312" w:cs="Times New Roman"/>
          <w:color w:val="auto"/>
          <w:spacing w:val="-6"/>
          <w:kern w:val="0"/>
          <w:sz w:val="32"/>
          <w:szCs w:val="32"/>
          <w:highlight w:val="none"/>
          <w:lang w:val="en-US" w:eastAsia="zh-CN"/>
        </w:rPr>
        <w:t>培训费、</w:t>
      </w:r>
      <w:r>
        <w:rPr>
          <w:rFonts w:hint="default" w:ascii="Times New Roman" w:hAnsi="Times New Roman" w:eastAsia="仿宋_GB2312" w:cs="Times New Roman"/>
          <w:color w:val="auto"/>
          <w:spacing w:val="-6"/>
          <w:kern w:val="0"/>
          <w:sz w:val="32"/>
          <w:szCs w:val="32"/>
          <w:highlight w:val="none"/>
          <w:lang w:val="en-US" w:eastAsia="zh-CN"/>
        </w:rPr>
        <w:t>工会经费、福利费</w:t>
      </w:r>
      <w:r>
        <w:rPr>
          <w:rFonts w:hint="eastAsia"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七、关于焉耆回族自治县包尔海乡中心学校2025年一般公共预算项目支出情况说明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焉耆回族自治县包尔海乡中心学校2025年没有使用一般公共预算项目支出，一般公共预算项目支出情况表为空表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八、关于焉耆回族自治县包尔海乡中心学校2025年政府性基金预算支出情况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焉耆回族自治县包尔海乡中心学校2025年没有使用政府性基金预算拨款安排的支出，政府性基金预算支出情况表为空表。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九、关于焉耆回族自治县包尔海乡中心学校2025年国有资本经营预算拨款情况说明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焉耆回族自治县包尔海乡中心学校202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十、关于焉耆回族自治县包尔海乡中心学校2025年财政拨款“三公”经费预算情况说明</w:t>
      </w:r>
    </w:p>
    <w:p>
      <w:pPr>
        <w:spacing w:line="600" w:lineRule="exact"/>
        <w:ind w:firstLine="640" w:firstLineChars="200"/>
        <w:rPr>
          <w:rFonts w:hint="eastAsia"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焉耆回族自治县包尔海乡中心学校</w:t>
      </w:r>
      <w:r>
        <w:rPr>
          <w:rFonts w:hint="default" w:ascii="Times New Roman" w:hAnsi="Times New Roman" w:eastAsia="仿宋_GB2312" w:cs="Times New Roman"/>
          <w:color w:val="auto"/>
          <w:kern w:val="0"/>
          <w:sz w:val="32"/>
          <w:szCs w:val="32"/>
          <w:highlight w:val="none"/>
          <w:lang w:eastAsia="zh-CN"/>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万元，其中：因公出国（境）费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万元，公务用车购置</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万元，公务用车运行费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万元，公务接待费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年财政拨款"三公"经费比上年预算增加0万元，增长0%，其中：因公出国（境）费增加0万元，增长0%、主要原因是</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无因公出国（境）人员；公务用车购置费增加0万元，增长0%，主要原因是</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本年度未安排公务用车购置费预算；公务用车运行费增加0万元，增长0%，主要原因是</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未安排预算；</w:t>
      </w:r>
      <w:r>
        <w:rPr>
          <w:rFonts w:hint="default" w:ascii="Times New Roman" w:hAnsi="Times New Roman" w:eastAsia="仿宋_GB2312" w:cs="Times New Roman"/>
          <w:kern w:val="0"/>
          <w:sz w:val="32"/>
          <w:szCs w:val="32"/>
          <w:highlight w:val="none"/>
        </w:rPr>
        <w:t>公务接待费增加0万元，增长0%，主要原因是</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、关于焉耆回族自治县包尔海乡中心学校</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焉耆回族自治县包尔海乡中心学校</w:t>
      </w:r>
      <w:r>
        <w:rPr>
          <w:rFonts w:hint="default" w:ascii="Times New Roman" w:hAnsi="Times New Roman" w:eastAsia="仿宋_GB2312" w:cs="Times New Roman"/>
          <w:color w:val="auto"/>
          <w:kern w:val="0"/>
          <w:sz w:val="32"/>
          <w:szCs w:val="32"/>
          <w:highlight w:val="none"/>
          <w:lang w:eastAsia="zh-CN"/>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年无上年结转结余预算的支出，结转结余预算支出情况</w:t>
      </w:r>
      <w:r>
        <w:rPr>
          <w:rFonts w:hint="eastAsia"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lang w:eastAsia="zh-CN"/>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焉耆回族自治县包尔海乡中心学校2025年的事业单位运行经费19.77万元，比上年预算增加</w:t>
      </w:r>
      <w:r>
        <w:rPr>
          <w:rFonts w:hint="eastAsia" w:eastAsia="仿宋_GB2312" w:cs="Times New Roman"/>
          <w:color w:val="auto"/>
          <w:kern w:val="0"/>
          <w:sz w:val="32"/>
          <w:szCs w:val="32"/>
          <w:highlight w:val="none"/>
          <w:lang w:val="en-US" w:eastAsia="zh-CN"/>
        </w:rPr>
        <w:t>1.93</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8.89</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厉行节约，压减公用经费支出。</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2025年，焉耆回族自治县包尔海乡中心学校政府采购预算61.97万元，其中：政府采购货物预算60万元，政府采购工程预算0万元，政府采购服务预算1.97万元。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2025年，焉耆回族自治县包尔海乡中心学校面向中小企业预留政府采购项目预算金额61.97万元，小微企业预留政府采购项目预算金额61.97 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截至2024年底，焉耆回族自治县包尔海乡中心学校及下属各预算单位占用使用国有资产总体情况为：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房屋9415.45平方米，价值1778.81万元。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办公家具价值126.39万元。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其他资产价值402.37万元。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整体预算绩效目标1个，涉及预算金额1619.02万元；当年预算安排项目共0个，其中: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 xml:space="preserve">按项目分别填报） </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tbl>
      <w:tblPr>
        <w:tblStyle w:val="10"/>
        <w:tblpPr w:leftFromText="180" w:rightFromText="180" w:vertAnchor="text" w:horzAnchor="page" w:tblpX="1214" w:tblpY="-11200"/>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焉耆回族自治县包尔海乡中心学校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马丽晶</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18999015901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color w:val="auto"/>
                <w:sz w:val="20"/>
                <w:szCs w:val="20"/>
                <w:highlight w:val="none"/>
                <w:lang w:eastAsia="zh-CN"/>
              </w:rPr>
              <w:t>全</w:t>
            </w:r>
            <w:r>
              <w:rPr>
                <w:rFonts w:hint="eastAsia" w:ascii="宋体" w:hAnsi="宋体" w:cs="宋体"/>
                <w:color w:val="auto"/>
                <w:sz w:val="20"/>
                <w:szCs w:val="20"/>
                <w:highlight w:val="none"/>
              </w:rPr>
              <w:t>面贯彻党的教育方针，培养德、智、体、美、劳全面发展的二十一世纪新型人才，促进</w:t>
            </w:r>
            <w:r>
              <w:rPr>
                <w:rFonts w:hint="eastAsia" w:ascii="宋体" w:hAnsi="宋体" w:eastAsia="宋体" w:cs="宋体"/>
                <w:i w:val="0"/>
                <w:iCs w:val="0"/>
                <w:color w:val="000000"/>
                <w:kern w:val="0"/>
                <w:sz w:val="20"/>
                <w:szCs w:val="20"/>
                <w:highlight w:val="none"/>
                <w:u w:val="none"/>
                <w:lang w:val="en-US" w:eastAsia="zh-CN" w:bidi="ar"/>
              </w:rPr>
              <w:t>焉耆回族自治县包尔海乡中心学校</w:t>
            </w:r>
            <w:r>
              <w:rPr>
                <w:rFonts w:hint="eastAsia" w:ascii="宋体" w:hAnsi="宋体" w:cs="宋体"/>
                <w:color w:val="auto"/>
                <w:sz w:val="20"/>
                <w:szCs w:val="20"/>
                <w:highlight w:val="none"/>
              </w:rPr>
              <w:t>教育教学事业又好又快发展，保障学校教育教学工作的有效提升，为广大师生提供优质的教育教学环境，办好让人民满意的教育。</w:t>
            </w:r>
            <w:r>
              <w:rPr>
                <w:rFonts w:hint="eastAsia" w:ascii="宋体" w:hAnsi="宋体" w:cs="宋体"/>
                <w:color w:val="auto"/>
                <w:sz w:val="20"/>
                <w:szCs w:val="20"/>
                <w:highlight w:val="none"/>
                <w:lang w:val="en-US" w:eastAsia="zh-CN"/>
              </w:rPr>
              <w:t>本年度开设13个班，培育学生人数360，受资助补助政策学生共有116人，享受补助次数8次。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1573.82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开设班级数量</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13</w:t>
            </w:r>
            <w:r>
              <w:rPr>
                <w:rFonts w:hint="default" w:ascii="Times New Roman" w:hAnsi="Times New Roman" w:cs="Times New Roman"/>
                <w:color w:val="000000"/>
                <w:sz w:val="20"/>
                <w:szCs w:val="20"/>
              </w:rPr>
              <w:t>个</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cs="Times New Roman"/>
                <w:color w:val="000000"/>
                <w:sz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培育学生数量</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360</w:t>
            </w:r>
            <w:r>
              <w:rPr>
                <w:rFonts w:hint="default" w:ascii="Times New Roman" w:hAnsi="Times New Roman" w:cs="Times New Roman"/>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cs="Times New Roman"/>
                <w:color w:val="000000"/>
                <w:sz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受资助补助政策学生数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116</w:t>
            </w:r>
            <w:r>
              <w:rPr>
                <w:rFonts w:hint="default" w:ascii="Times New Roman" w:hAnsi="Times New Roman" w:cs="Times New Roman"/>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cs="Times New Roman"/>
                <w:color w:val="000000"/>
                <w:sz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default" w:ascii="Times New Roman" w:hAnsi="Times New Roman" w:eastAsia="宋体" w:cs="Times New Roman"/>
                <w:color w:val="000000"/>
                <w:sz w:val="20"/>
                <w:szCs w:val="20"/>
                <w:lang w:val="en-US" w:eastAsia="zh-CN"/>
              </w:rPr>
            </w:pPr>
            <w:r>
              <w:rPr>
                <w:rFonts w:hint="eastAsia" w:cs="Times New Roman"/>
                <w:color w:val="000000"/>
                <w:sz w:val="20"/>
                <w:szCs w:val="20"/>
                <w:lang w:val="en-US" w:eastAsia="zh-CN"/>
              </w:rPr>
              <w:t>补助发放次数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8次</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cs="Times New Roman"/>
                <w:color w:val="000000"/>
                <w:sz w:val="24"/>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0" w:firstLineChars="1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焉耆回族自治县包尔海乡中心学校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_x0000_s00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8"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cBgnoAQAA9Q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4Un4KEVQnjv+NJT8e6KyXK2zQX2kiuse4wHn&#10;HXGY1Q4t+vzPOsQwmnp9NtUMSWhOLter9bpkvzWf3TaMU7x8HpHSFwNe5KCWyF0bzVSXe0pT6a0k&#10;3xZgb53jvKpc+CPBmDlTZMYTxxyl4TjMxI/QXFkvwjQIFPXe8p33itJBIXeeefLbSA+8tA76WsIc&#10;SdEB/vxXPtdzQ/hUip4nqZaBH44U7mvgRuWhuwV4C463QAXNH9YySXGOaE/dyCtrovj5nFjoqD+r&#10;mKjP4ngaRgfnyc3j9vt+rHp5rd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NqcBgnoAQAA&#10;9QMAAA4AAAAAAAAAAQAgAAAAHwEAAGRycy9lMm9Eb2MueG1sUEsFBgAAAAAGAAYAWQEAAHkFAAAA&#10;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_x0000_s00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C4XHLm6QEA&#10;APUDAAAOAAAAAAAAAAEAIAAAAB8BAABkcnMvZTJvRG9jLnhtbFBLBQYAAAAABgAGAFkBAAB6BQAA&#10;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M2JlNjk4Mjk5YjEwYzhlMTRiMWQxYzg5ZWJjNjIifQ=="/>
  </w:docVars>
  <w:rsids>
    <w:rsidRoot w:val="00000000"/>
    <w:rsid w:val="00111EFA"/>
    <w:rsid w:val="004A5E6A"/>
    <w:rsid w:val="011D3C52"/>
    <w:rsid w:val="04DD4A81"/>
    <w:rsid w:val="07906196"/>
    <w:rsid w:val="0C717C4D"/>
    <w:rsid w:val="0CF772B7"/>
    <w:rsid w:val="0D0E1DAD"/>
    <w:rsid w:val="0E810B64"/>
    <w:rsid w:val="0FA460AD"/>
    <w:rsid w:val="10CF58E6"/>
    <w:rsid w:val="10E60E31"/>
    <w:rsid w:val="113A7EE5"/>
    <w:rsid w:val="11405F17"/>
    <w:rsid w:val="11573CA4"/>
    <w:rsid w:val="13752C11"/>
    <w:rsid w:val="14712494"/>
    <w:rsid w:val="14E859A7"/>
    <w:rsid w:val="15794965"/>
    <w:rsid w:val="175715FC"/>
    <w:rsid w:val="17EE43C8"/>
    <w:rsid w:val="186B59D5"/>
    <w:rsid w:val="189911B2"/>
    <w:rsid w:val="195E2BF1"/>
    <w:rsid w:val="19AB0666"/>
    <w:rsid w:val="19E7571E"/>
    <w:rsid w:val="1D420008"/>
    <w:rsid w:val="1FA91AA8"/>
    <w:rsid w:val="20DA60E5"/>
    <w:rsid w:val="22F908DF"/>
    <w:rsid w:val="23142E9B"/>
    <w:rsid w:val="232864DE"/>
    <w:rsid w:val="242F79A6"/>
    <w:rsid w:val="245D6B2F"/>
    <w:rsid w:val="2495358E"/>
    <w:rsid w:val="2512188D"/>
    <w:rsid w:val="264D5FCC"/>
    <w:rsid w:val="2672221A"/>
    <w:rsid w:val="26CC46E0"/>
    <w:rsid w:val="27F11748"/>
    <w:rsid w:val="297E4270"/>
    <w:rsid w:val="29BC57EF"/>
    <w:rsid w:val="29DF2885"/>
    <w:rsid w:val="29F25E51"/>
    <w:rsid w:val="2B824D1E"/>
    <w:rsid w:val="2B897009"/>
    <w:rsid w:val="2E882BA1"/>
    <w:rsid w:val="3070464D"/>
    <w:rsid w:val="308A0B6F"/>
    <w:rsid w:val="34587DCA"/>
    <w:rsid w:val="35405076"/>
    <w:rsid w:val="37940FF2"/>
    <w:rsid w:val="387A4E88"/>
    <w:rsid w:val="38883027"/>
    <w:rsid w:val="38A204DE"/>
    <w:rsid w:val="3A2E47DB"/>
    <w:rsid w:val="3A4153D6"/>
    <w:rsid w:val="3A4A1B34"/>
    <w:rsid w:val="3AD06CF0"/>
    <w:rsid w:val="3D7C26E0"/>
    <w:rsid w:val="3D8563E2"/>
    <w:rsid w:val="3EA0530E"/>
    <w:rsid w:val="3F9F3849"/>
    <w:rsid w:val="42F033CC"/>
    <w:rsid w:val="435400D7"/>
    <w:rsid w:val="44B43B90"/>
    <w:rsid w:val="45085B41"/>
    <w:rsid w:val="451A1FD3"/>
    <w:rsid w:val="45615C21"/>
    <w:rsid w:val="4944123E"/>
    <w:rsid w:val="499B0300"/>
    <w:rsid w:val="4BFC0F4B"/>
    <w:rsid w:val="4C180668"/>
    <w:rsid w:val="4CB23AA1"/>
    <w:rsid w:val="4CE51C7E"/>
    <w:rsid w:val="4DDC07F1"/>
    <w:rsid w:val="4E78680F"/>
    <w:rsid w:val="4E7E6B73"/>
    <w:rsid w:val="4F751E33"/>
    <w:rsid w:val="507B6FF9"/>
    <w:rsid w:val="512963D7"/>
    <w:rsid w:val="52795CF0"/>
    <w:rsid w:val="52B152A0"/>
    <w:rsid w:val="533D7E0B"/>
    <w:rsid w:val="53DE5746"/>
    <w:rsid w:val="552D0D63"/>
    <w:rsid w:val="560E7B08"/>
    <w:rsid w:val="57EC7941"/>
    <w:rsid w:val="59AB77CD"/>
    <w:rsid w:val="5A8A3B51"/>
    <w:rsid w:val="5B934158"/>
    <w:rsid w:val="5CE87291"/>
    <w:rsid w:val="5CEE1BC7"/>
    <w:rsid w:val="5F381B13"/>
    <w:rsid w:val="606200FA"/>
    <w:rsid w:val="6151287E"/>
    <w:rsid w:val="65544251"/>
    <w:rsid w:val="66161500"/>
    <w:rsid w:val="66CD038D"/>
    <w:rsid w:val="67124F91"/>
    <w:rsid w:val="68FB5B24"/>
    <w:rsid w:val="6A077BC4"/>
    <w:rsid w:val="6B115AF7"/>
    <w:rsid w:val="6C18391A"/>
    <w:rsid w:val="6D391730"/>
    <w:rsid w:val="6D4D746F"/>
    <w:rsid w:val="6D600AC8"/>
    <w:rsid w:val="700531A5"/>
    <w:rsid w:val="713B3457"/>
    <w:rsid w:val="717534BE"/>
    <w:rsid w:val="73FA52FF"/>
    <w:rsid w:val="75E54241"/>
    <w:rsid w:val="76132F64"/>
    <w:rsid w:val="76143CE4"/>
    <w:rsid w:val="779351B8"/>
    <w:rsid w:val="7AA6272C"/>
    <w:rsid w:val="7ACB05D5"/>
    <w:rsid w:val="7B175DD7"/>
    <w:rsid w:val="7C0D2E91"/>
    <w:rsid w:val="7E2B63BD"/>
    <w:rsid w:val="7EFD191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e3ba0-cfff-45a9-adfe-903ed6d94dc5}">
  <ds:schemaRefs/>
</ds:datastoreItem>
</file>

<file path=customXml/itemProps3.xml><?xml version="1.0" encoding="utf-8"?>
<ds:datastoreItem xmlns:ds="http://schemas.openxmlformats.org/officeDocument/2006/customXml" ds:itemID="{af6ba6b8-44a8-4f47-8fb1-4a8cae5ee9b7}">
  <ds:schemaRefs/>
</ds:datastoreItem>
</file>

<file path=customXml/itemProps4.xml><?xml version="1.0" encoding="utf-8"?>
<ds:datastoreItem xmlns:ds="http://schemas.openxmlformats.org/officeDocument/2006/customXml" ds:itemID="{f3a40358-6c90-4765-8070-12db01826b8c}">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2827</Words>
  <Characters>3516</Characters>
  <Lines>0</Lines>
  <Paragraphs>0</Paragraphs>
  <TotalTime>2</TotalTime>
  <ScaleCrop>false</ScaleCrop>
  <LinksUpToDate>false</LinksUpToDate>
  <CharactersWithSpaces>4039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2025-04-01T08:44:00Z</cp:lastPrinted>
  <dcterms:modified xsi:type="dcterms:W3CDTF">2025-04-22T09:40:18Z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88483744274346F6AFD6088A428F4C54_13</vt:lpwstr>
  </property>
  <property fmtid="{D5CDD505-2E9C-101B-9397-08002B2CF9AE}" pid="4" name="KSOTemplateDocerSaveRecord">
    <vt:lpwstr>eyJoZGlkIjoiMTI5ZjRlZGEwMTdkYTI5NDdmNDNhMTVmMGVhNjA2ODMiLCJ1c2VySWQiOiI2MTg2Mjc2OTkifQ==</vt:lpwstr>
  </property>
</Properties>
</file>