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焉耆回族自治县人民政府办公室</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一、关于焉耆回族自治县人民政府办公室2025年收支预算情况的总体说明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二、关于焉耆回族自治县人民政府办公室2025年收入预算情况说明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三、关于焉耆回族自治县人民政府办公室2025年支出预算情况说明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四、关于焉耆回族自治县人民政府办公室2025年财政拨款收支预算情况的总体说明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五、关于焉耆回族自治县人民政府办公室2025年一般公共预算当年拨款情况说明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六、关于焉耆回族自治县人民政府办公室2025年一般公共预算基本支出情况说明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七、关于焉耆回族自治县人民政府办公室2025年一般公共预算项目支出情况说明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八、关于焉耆回族自治县人民政府办公室2025年政府性基金预算拨款情况说明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九、关于焉耆回族自治县人民政府办公室2025年国有资本经营预算拨款情况说明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十、关于焉耆回族自治县人民政府办公室2025年财政拨款“三公”经费预算情况说明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十一、关于焉耆回族自治县人民政府办公室2025年上年结转结余预算情况说明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1.负责县人民政府会议的准备工作，协助县人民政府领导同志组织会议决定事项。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2.协助县人民政府领导同志组织起草或审核以县人民政府、县人民政府办公室名义发布的公文,负责办理文电收发运转工作。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3.研究县人民政府各部门和各乡镇人民政府、农牧场管委会请示县人民政府的事项，提出审核意见，报县人民政府领导同志审定。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4.督促检查县人民政府公文、会议决定事项及县人民政府领导同志批示的贯彻落实情况并跟踪调研，及时向县人民政府领导同志报告。负责人大代表议案建议和政协委员提案意见办理的督办工作。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5.负责县人民政府值班工作，及时向县人民政府领导同志重要情况，协助处理各部门和各乡镇场向县人民政府反映的的重要问题，传达和督促落实县人民政府领导同志的批批示。</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6.负责指导、监督全县政务公开及政府信息公开工作。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7.负责推进、指导、协调县人民政府系统电子政务工作。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8.贯彻执行党和国家、自治区、自治州、外事工作的方针政策、法律法规、指示决定；负责协调、处理自治县涉外事务。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9.归口管理自治县因公出国、赴港澳工作及邀请外国人来华工作；承办权限范围内的因公出国、赴港澳审批、审核工作，邀请外国人员来访的申请，承办自治县领导出访报批和对外交往事宜；承办驻外使馆来函、来电的处理；负责外国专家、留学生、实习生涉外事项的管理工作；协助有关部门做好国外智力引进和出国（境）培训有关涉外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10.负责组织接待来自治县访问的国宾、党宾和其他重要外宾工作；负责外国及港澳记者来自治县采访事宜；统筹安排和管理自治县对外交往活动；归口管理自治县港澳事务工作；负责境外非政府组织在自治县核定及民间组织参加国际非政府组织核定的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11.负责管理自治县与外国开展友好县市以及其他交往活动，办理对外结好的报批手续；指导民间对外交往工作；协助有关部门处理涉外案件；协同有关部门审核自治县重要涉外案件；协同有关部门审核自治县重要涉外报道稿件和有关文稿；会同有关部门检查外事纪律及国家安全、出国经费开支、保密制度的执行情况、及时向有关部门提出违反外事纪律问题的处理意见和建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12.贯彻国家和自治区、自治州有关信访的法律、法规、规章和方针政策的规定、指导全县信访工作。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13.负责处理县内外群众、法人及其他组织通过信访渠道给县委、县人民政府及主要领导同志反映的信访问题，确保信访渠道畅通无阻。</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14.负责向县委、县人民政府反映群众来信来电来访中提出的重要建议、意见和问题，综合研判信访信息，开展调查研究，预测发展趋势，依法提出有效解决问题的意见和建议。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15.承办中央、自治区、自治州及上级有关部门批转的，以及转给县委、县人民政府领导的人民来信和来访接待工作。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16.承担本部门党的建设、党风廉政建设和反腐败、精神文明、社会稳定、“访惠聚”、综合治理、民族团结、“两个全覆盖”、安全生产、巩固脱贫攻坚成果等工作。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17.完成县委、县人民政府交办的其他任务。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焉耆回族自治县人民政府办公室</w:t>
      </w:r>
      <w:r>
        <w:rPr>
          <w:rFonts w:hint="default" w:ascii="Times New Roman" w:hAnsi="Times New Roman" w:eastAsia="仿宋_GB2312" w:cs="Times New Roman"/>
          <w:bCs/>
          <w:color w:val="auto"/>
          <w:kern w:val="0"/>
          <w:sz w:val="32"/>
          <w:szCs w:val="32"/>
          <w:highlight w:val="none"/>
          <w:lang w:val="en-US" w:eastAsia="zh-CN"/>
        </w:rPr>
        <w:t>无下属预算单位，</w:t>
      </w:r>
      <w:r>
        <w:rPr>
          <w:rFonts w:hint="eastAsia" w:eastAsia="仿宋_GB2312" w:cs="Times New Roman"/>
          <w:bCs/>
          <w:color w:val="auto"/>
          <w:kern w:val="0"/>
          <w:sz w:val="32"/>
          <w:szCs w:val="32"/>
          <w:highlight w:val="none"/>
          <w:lang w:val="en-US" w:eastAsia="zh-CN"/>
        </w:rPr>
        <w:t>下设</w:t>
      </w:r>
      <w:r>
        <w:rPr>
          <w:rFonts w:hint="default" w:ascii="Times New Roman" w:hAnsi="Times New Roman" w:eastAsia="仿宋_GB2312" w:cs="Times New Roman"/>
          <w:bCs/>
          <w:color w:val="auto"/>
          <w:kern w:val="0"/>
          <w:sz w:val="32"/>
          <w:szCs w:val="32"/>
          <w:highlight w:val="none"/>
          <w:lang w:val="en-US" w:eastAsia="zh-CN"/>
        </w:rPr>
        <w:t>6</w:t>
      </w:r>
      <w:r>
        <w:rPr>
          <w:rFonts w:hint="eastAsia" w:eastAsia="仿宋_GB2312" w:cs="Times New Roman"/>
          <w:bCs/>
          <w:color w:val="auto"/>
          <w:kern w:val="0"/>
          <w:sz w:val="32"/>
          <w:szCs w:val="32"/>
          <w:highlight w:val="none"/>
          <w:lang w:val="en-US" w:eastAsia="zh-CN"/>
        </w:rPr>
        <w:t>处</w:t>
      </w:r>
      <w:r>
        <w:rPr>
          <w:rFonts w:hint="default" w:ascii="Times New Roman" w:hAnsi="Times New Roman" w:eastAsia="仿宋_GB2312" w:cs="Times New Roman"/>
          <w:bCs/>
          <w:color w:val="auto"/>
          <w:kern w:val="0"/>
          <w:sz w:val="32"/>
          <w:szCs w:val="32"/>
          <w:highlight w:val="none"/>
          <w:lang w:val="en-US" w:eastAsia="zh-CN"/>
        </w:rPr>
        <w:t>室，分别为：综合管理办公室（一室）、综合管理办公室（二室）、政务服务办公室、机要办公室、信息督查办公室、外事办公室。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焉耆回族自治县人民政府</w:t>
      </w:r>
      <w:r>
        <w:rPr>
          <w:rFonts w:hint="default" w:ascii="Times New Roman" w:hAnsi="Times New Roman" w:eastAsia="仿宋_GB2312" w:cs="Times New Roman"/>
          <w:bCs/>
          <w:color w:val="auto"/>
          <w:kern w:val="0"/>
          <w:sz w:val="32"/>
          <w:szCs w:val="32"/>
          <w:highlight w:val="none"/>
          <w:lang w:val="en-US" w:eastAsia="zh-CN"/>
        </w:rPr>
        <w:t>编制数43，实有人数68人，其中：在职40人，减少1人；退休28人，增加1人；离休0人，增加0人。</w:t>
      </w:r>
    </w:p>
    <w:p>
      <w:pPr>
        <w:rPr>
          <w:rFonts w:hint="default" w:ascii="Times New Roman" w:hAnsi="Times New Roman" w:eastAsia="仿宋_GB2312" w:cs="Times New Roman"/>
          <w:b/>
          <w:bCs/>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280" w:lineRule="exact"/>
        <w:ind w:left="7200" w:hanging="7200" w:hangingChars="3000"/>
        <w:jc w:val="left"/>
        <w:textAlignment w:val="auto"/>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lang w:eastAsia="zh-CN"/>
        </w:rPr>
        <w:t>编制单位：</w:t>
      </w:r>
      <w:r>
        <w:rPr>
          <w:rFonts w:hint="eastAsia" w:ascii="仿宋_GB2312" w:hAnsi="宋体" w:eastAsia="仿宋_GB2312"/>
          <w:color w:val="auto"/>
          <w:kern w:val="0"/>
          <w:sz w:val="24"/>
          <w:highlight w:val="none"/>
          <w:lang w:val="en-US" w:eastAsia="zh-CN"/>
        </w:rPr>
        <w:t>焉耆回族自治县人民政府办公室</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1"/>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767.34</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583.53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767.34</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767.34</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100.07</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36.75</w:t>
            </w:r>
          </w:p>
          <w:p>
            <w:pPr>
              <w:pStyle w:val="2"/>
              <w:jc w:val="center"/>
              <w:rPr>
                <w:rFonts w:hint="default" w:ascii="Times New Roman" w:hAnsi="Times New Roman" w:cs="Times New Roman"/>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46.99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 xml:space="preserve">  767.34</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tabs>
                <w:tab w:val="center" w:pos="742"/>
                <w:tab w:val="right" w:pos="1785"/>
              </w:tabs>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767.34</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仿宋_GB2312" w:eastAsia="仿宋_GB2312" w:cs="仿宋_GB2312"/>
          <w:b/>
          <w:bCs w:val="0"/>
          <w:color w:val="auto"/>
          <w:kern w:val="0"/>
          <w:sz w:val="32"/>
          <w:szCs w:val="32"/>
          <w:highlight w:val="none"/>
        </w:rPr>
      </w:pPr>
      <w:r>
        <w:rPr>
          <w:rFonts w:hint="eastAsia" w:ascii="仿宋_GB2312" w:hAnsi="仿宋_GB2312" w:eastAsia="仿宋_GB2312" w:cs="仿宋_GB2312"/>
          <w:b/>
          <w:bCs w:val="0"/>
          <w:color w:val="auto"/>
          <w:kern w:val="0"/>
          <w:sz w:val="32"/>
          <w:szCs w:val="32"/>
          <w:highlight w:val="none"/>
        </w:rPr>
        <w:t>单位收入总体情况表</w:t>
      </w:r>
    </w:p>
    <w:p>
      <w:pPr>
        <w:keepNext w:val="0"/>
        <w:keepLines w:val="0"/>
        <w:pageBreakBefore w:val="0"/>
        <w:widowControl/>
        <w:kinsoku/>
        <w:wordWrap/>
        <w:overflowPunct/>
        <w:topLinePunct w:val="0"/>
        <w:autoSpaceDE/>
        <w:autoSpaceDN/>
        <w:bidi w:val="0"/>
        <w:adjustRightInd/>
        <w:snapToGrid/>
        <w:spacing w:line="280" w:lineRule="exact"/>
        <w:ind w:left="7200" w:hanging="7200" w:hangingChars="3000"/>
        <w:jc w:val="left"/>
        <w:textAlignment w:val="auto"/>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lang w:eastAsia="zh-CN"/>
        </w:rPr>
        <w:t>编制单位：</w:t>
      </w:r>
      <w:r>
        <w:rPr>
          <w:rFonts w:hint="eastAsia" w:ascii="仿宋_GB2312" w:hAnsi="宋体" w:eastAsia="仿宋_GB2312"/>
          <w:color w:val="auto"/>
          <w:kern w:val="0"/>
          <w:sz w:val="24"/>
          <w:highlight w:val="none"/>
          <w:lang w:val="en-US" w:eastAsia="zh-CN"/>
        </w:rPr>
        <w:t>焉耆回族自治县人民政府办公室</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p>
      <w:pPr>
        <w:pStyle w:val="2"/>
        <w:rPr>
          <w:rFonts w:hint="eastAsia"/>
        </w:rPr>
      </w:pPr>
    </w:p>
    <w:tbl>
      <w:tblPr>
        <w:tblStyle w:val="11"/>
        <w:tblW w:w="11413" w:type="dxa"/>
        <w:tblInd w:w="-1324" w:type="dxa"/>
        <w:tblLayout w:type="fixed"/>
        <w:tblCellMar>
          <w:top w:w="0" w:type="dxa"/>
          <w:left w:w="108" w:type="dxa"/>
          <w:bottom w:w="0" w:type="dxa"/>
          <w:right w:w="108" w:type="dxa"/>
        </w:tblCellMar>
      </w:tblPr>
      <w:tblGrid>
        <w:gridCol w:w="628"/>
        <w:gridCol w:w="510"/>
        <w:gridCol w:w="600"/>
        <w:gridCol w:w="2588"/>
        <w:gridCol w:w="794"/>
        <w:gridCol w:w="863"/>
        <w:gridCol w:w="735"/>
        <w:gridCol w:w="735"/>
        <w:gridCol w:w="450"/>
        <w:gridCol w:w="555"/>
        <w:gridCol w:w="390"/>
        <w:gridCol w:w="945"/>
        <w:gridCol w:w="555"/>
        <w:gridCol w:w="315"/>
        <w:gridCol w:w="405"/>
        <w:gridCol w:w="345"/>
      </w:tblGrid>
      <w:tr>
        <w:tblPrEx>
          <w:tblCellMar>
            <w:top w:w="0" w:type="dxa"/>
            <w:left w:w="108" w:type="dxa"/>
            <w:bottom w:w="0" w:type="dxa"/>
            <w:right w:w="108" w:type="dxa"/>
          </w:tblCellMar>
        </w:tblPrEx>
        <w:trPr>
          <w:trHeight w:val="697" w:hRule="atLeast"/>
        </w:trPr>
        <w:tc>
          <w:tcPr>
            <w:tcW w:w="1738"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b/>
                <w:bCs w:val="0"/>
                <w:color w:val="auto"/>
                <w:sz w:val="20"/>
                <w:szCs w:val="20"/>
                <w:highlight w:val="none"/>
              </w:rPr>
            </w:pPr>
            <w:r>
              <w:rPr>
                <w:rFonts w:hint="eastAsia" w:ascii="仿宋_GB2312" w:eastAsia="仿宋_GB2312"/>
                <w:b/>
                <w:bCs w:val="0"/>
                <w:color w:val="auto"/>
                <w:sz w:val="24"/>
                <w:szCs w:val="24"/>
                <w:highlight w:val="none"/>
              </w:rPr>
              <w:t>功能分类科目编码</w:t>
            </w:r>
          </w:p>
        </w:tc>
        <w:tc>
          <w:tcPr>
            <w:tcW w:w="2588" w:type="dxa"/>
            <w:vMerge w:val="restart"/>
            <w:tcBorders>
              <w:top w:val="single" w:color="auto" w:sz="4" w:space="0"/>
              <w:left w:val="single" w:color="auto" w:sz="4" w:space="0"/>
              <w:bottom w:val="single" w:color="000000" w:sz="4" w:space="0"/>
              <w:right w:val="single" w:color="auto" w:sz="4" w:space="0"/>
            </w:tcBorders>
            <w:noWrap w:val="0"/>
            <w:vAlign w:val="center"/>
          </w:tcPr>
          <w:p>
            <w:pPr>
              <w:tabs>
                <w:tab w:val="left" w:pos="0"/>
              </w:tabs>
              <w:ind w:left="-840" w:leftChars="-400" w:firstLine="841" w:firstLineChars="419"/>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功能分类科目名称</w:t>
            </w:r>
          </w:p>
        </w:tc>
        <w:tc>
          <w:tcPr>
            <w:tcW w:w="79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67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55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31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单位资金</w:t>
            </w:r>
          </w:p>
        </w:tc>
        <w:tc>
          <w:tcPr>
            <w:tcW w:w="40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财政拨款结转</w:t>
            </w:r>
          </w:p>
        </w:tc>
        <w:tc>
          <w:tcPr>
            <w:tcW w:w="34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非财政拨款结转结余</w:t>
            </w:r>
          </w:p>
        </w:tc>
      </w:tr>
      <w:tr>
        <w:tblPrEx>
          <w:tblCellMar>
            <w:top w:w="0" w:type="dxa"/>
            <w:left w:w="108" w:type="dxa"/>
            <w:bottom w:w="0" w:type="dxa"/>
            <w:right w:w="108" w:type="dxa"/>
          </w:tblCellMar>
        </w:tblPrEx>
        <w:trPr>
          <w:trHeight w:val="2269" w:hRule="atLeast"/>
        </w:trPr>
        <w:tc>
          <w:tcPr>
            <w:tcW w:w="628"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bCs w:val="0"/>
                <w:color w:val="auto"/>
                <w:sz w:val="20"/>
                <w:szCs w:val="20"/>
                <w:highlight w:val="none"/>
                <w:lang w:val="en-US" w:eastAsia="zh-Hans"/>
              </w:rPr>
            </w:pPr>
            <w:r>
              <w:rPr>
                <w:rFonts w:hint="eastAsia" w:ascii="仿宋_GB2312" w:eastAsia="仿宋_GB2312"/>
                <w:b/>
                <w:bCs w:val="0"/>
                <w:color w:val="auto"/>
                <w:sz w:val="20"/>
                <w:szCs w:val="20"/>
                <w:highlight w:val="none"/>
                <w:lang w:val="en-US" w:eastAsia="zh-Hans"/>
              </w:rPr>
              <w:t>类</w:t>
            </w:r>
          </w:p>
        </w:tc>
        <w:tc>
          <w:tcPr>
            <w:tcW w:w="510" w:type="dxa"/>
            <w:tcBorders>
              <w:left w:val="nil"/>
              <w:bottom w:val="single" w:color="auto" w:sz="4" w:space="0"/>
              <w:right w:val="single" w:color="auto" w:sz="4" w:space="0"/>
            </w:tcBorders>
            <w:noWrap w:val="0"/>
            <w:vAlign w:val="center"/>
          </w:tcPr>
          <w:p>
            <w:pPr>
              <w:jc w:val="right"/>
              <w:rPr>
                <w:rFonts w:hint="eastAsia" w:ascii="仿宋_GB2312" w:eastAsia="仿宋_GB2312"/>
                <w:b/>
                <w:bCs w:val="0"/>
                <w:color w:val="auto"/>
                <w:sz w:val="20"/>
                <w:szCs w:val="20"/>
                <w:highlight w:val="none"/>
                <w:lang w:val="en-US" w:eastAsia="zh-Hans"/>
              </w:rPr>
            </w:pPr>
            <w:r>
              <w:rPr>
                <w:rFonts w:hint="eastAsia" w:ascii="仿宋_GB2312" w:eastAsia="仿宋_GB2312"/>
                <w:b/>
                <w:bCs w:val="0"/>
                <w:color w:val="auto"/>
                <w:sz w:val="20"/>
                <w:szCs w:val="20"/>
                <w:highlight w:val="none"/>
                <w:lang w:val="en-US" w:eastAsia="zh-Hans"/>
              </w:rPr>
              <w:t>款</w:t>
            </w:r>
          </w:p>
        </w:tc>
        <w:tc>
          <w:tcPr>
            <w:tcW w:w="600" w:type="dxa"/>
            <w:tcBorders>
              <w:left w:val="nil"/>
              <w:bottom w:val="single" w:color="auto" w:sz="4" w:space="0"/>
              <w:right w:val="single" w:color="auto" w:sz="4" w:space="0"/>
            </w:tcBorders>
            <w:noWrap w:val="0"/>
            <w:vAlign w:val="center"/>
          </w:tcPr>
          <w:p>
            <w:pPr>
              <w:jc w:val="right"/>
              <w:rPr>
                <w:rFonts w:hint="eastAsia" w:ascii="仿宋_GB2312" w:eastAsia="仿宋_GB2312"/>
                <w:b/>
                <w:bCs w:val="0"/>
                <w:color w:val="auto"/>
                <w:sz w:val="20"/>
                <w:szCs w:val="20"/>
                <w:highlight w:val="none"/>
                <w:lang w:val="en-US" w:eastAsia="zh-Hans"/>
              </w:rPr>
            </w:pPr>
            <w:r>
              <w:rPr>
                <w:rFonts w:hint="eastAsia" w:ascii="仿宋_GB2312" w:eastAsia="仿宋_GB2312"/>
                <w:b/>
                <w:bCs w:val="0"/>
                <w:color w:val="auto"/>
                <w:sz w:val="20"/>
                <w:szCs w:val="20"/>
                <w:highlight w:val="none"/>
                <w:lang w:val="en-US" w:eastAsia="zh-Hans"/>
              </w:rPr>
              <w:t>项</w:t>
            </w:r>
          </w:p>
        </w:tc>
        <w:tc>
          <w:tcPr>
            <w:tcW w:w="2588"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b/>
                <w:bCs w:val="0"/>
                <w:color w:val="auto"/>
                <w:sz w:val="20"/>
                <w:szCs w:val="20"/>
                <w:highlight w:val="none"/>
              </w:rPr>
            </w:pPr>
          </w:p>
        </w:tc>
        <w:tc>
          <w:tcPr>
            <w:tcW w:w="794"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b/>
                <w:bCs w:val="0"/>
                <w:color w:val="auto"/>
                <w:sz w:val="20"/>
                <w:szCs w:val="20"/>
                <w:highlight w:val="none"/>
              </w:rPr>
            </w:pPr>
          </w:p>
        </w:tc>
        <w:tc>
          <w:tcPr>
            <w:tcW w:w="863"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0"/>
                <w:szCs w:val="20"/>
                <w:highlight w:val="none"/>
              </w:rPr>
              <w:t>财政拨款(补助)小计</w:t>
            </w:r>
          </w:p>
        </w:tc>
        <w:tc>
          <w:tcPr>
            <w:tcW w:w="73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0"/>
                <w:szCs w:val="20"/>
                <w:highlight w:val="none"/>
              </w:rPr>
              <w:t>一般公共预算</w:t>
            </w:r>
          </w:p>
        </w:tc>
        <w:tc>
          <w:tcPr>
            <w:tcW w:w="735" w:type="dxa"/>
            <w:tcBorders>
              <w:top w:val="single" w:color="auto" w:sz="4" w:space="0"/>
              <w:left w:val="single" w:color="auto" w:sz="4" w:space="0"/>
              <w:bottom w:val="single" w:color="000000" w:sz="4" w:space="0"/>
              <w:right w:val="single" w:color="auto" w:sz="4" w:space="0"/>
            </w:tcBorders>
            <w:noWrap w:val="0"/>
            <w:textDirection w:val="tbLrV"/>
            <w:vAlign w:val="center"/>
          </w:tcPr>
          <w:p>
            <w:pPr>
              <w:jc w:val="center"/>
              <w:rPr>
                <w:rFonts w:hint="eastAsia"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0"/>
                <w:szCs w:val="20"/>
                <w:highlight w:val="none"/>
              </w:rPr>
              <w:t>上级一般公共预算安排的转移支付</w:t>
            </w:r>
          </w:p>
        </w:tc>
        <w:tc>
          <w:tcPr>
            <w:tcW w:w="45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0"/>
                <w:szCs w:val="20"/>
                <w:highlight w:val="none"/>
              </w:rPr>
              <w:t>政府性基金预算</w:t>
            </w:r>
          </w:p>
        </w:tc>
        <w:tc>
          <w:tcPr>
            <w:tcW w:w="555" w:type="dxa"/>
            <w:tcBorders>
              <w:top w:val="single" w:color="auto" w:sz="4" w:space="0"/>
              <w:left w:val="single" w:color="auto" w:sz="4" w:space="0"/>
              <w:bottom w:val="single" w:color="000000" w:sz="4" w:space="0"/>
              <w:right w:val="single" w:color="auto" w:sz="4" w:space="0"/>
            </w:tcBorders>
            <w:noWrap w:val="0"/>
            <w:textDirection w:val="tbLrV"/>
            <w:vAlign w:val="center"/>
          </w:tcPr>
          <w:p>
            <w:pPr>
              <w:jc w:val="center"/>
              <w:rPr>
                <w:rFonts w:hint="eastAsia"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0"/>
                <w:szCs w:val="20"/>
                <w:highlight w:val="none"/>
              </w:rPr>
              <w:t>上级政府性基金安排的转移支付</w:t>
            </w:r>
          </w:p>
        </w:tc>
        <w:tc>
          <w:tcPr>
            <w:tcW w:w="39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0"/>
                <w:szCs w:val="20"/>
                <w:highlight w:val="none"/>
              </w:rPr>
              <w:t>国有资本经营预算</w:t>
            </w:r>
          </w:p>
        </w:tc>
        <w:tc>
          <w:tcPr>
            <w:tcW w:w="94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0"/>
                <w:szCs w:val="20"/>
                <w:highlight w:val="none"/>
              </w:rPr>
              <w:t>上级国有资本经营预算安排的转移支付</w:t>
            </w:r>
          </w:p>
        </w:tc>
        <w:tc>
          <w:tcPr>
            <w:tcW w:w="555" w:type="dxa"/>
            <w:vMerge w:val="continue"/>
            <w:tcBorders>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p>
        </w:tc>
        <w:tc>
          <w:tcPr>
            <w:tcW w:w="315" w:type="dxa"/>
            <w:vMerge w:val="continue"/>
            <w:tcBorders>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p>
        </w:tc>
        <w:tc>
          <w:tcPr>
            <w:tcW w:w="405" w:type="dxa"/>
            <w:vMerge w:val="continue"/>
            <w:tcBorders>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p>
        </w:tc>
        <w:tc>
          <w:tcPr>
            <w:tcW w:w="345" w:type="dxa"/>
            <w:vMerge w:val="continue"/>
            <w:tcBorders>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p>
        </w:tc>
      </w:tr>
      <w:tr>
        <w:tblPrEx>
          <w:tblCellMar>
            <w:top w:w="0" w:type="dxa"/>
            <w:left w:w="108" w:type="dxa"/>
            <w:bottom w:w="0" w:type="dxa"/>
            <w:right w:w="108" w:type="dxa"/>
          </w:tblCellMar>
        </w:tblPrEx>
        <w:trPr>
          <w:trHeight w:val="580" w:hRule="atLeast"/>
        </w:trPr>
        <w:tc>
          <w:tcPr>
            <w:tcW w:w="628"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201</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一般公共服务支出</w:t>
            </w:r>
          </w:p>
        </w:tc>
        <w:tc>
          <w:tcPr>
            <w:tcW w:w="794"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583.53</w:t>
            </w:r>
          </w:p>
        </w:tc>
        <w:tc>
          <w:tcPr>
            <w:tcW w:w="863"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583.53</w:t>
            </w:r>
          </w:p>
        </w:tc>
        <w:tc>
          <w:tcPr>
            <w:tcW w:w="735"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583.53</w:t>
            </w:r>
          </w:p>
        </w:tc>
        <w:tc>
          <w:tcPr>
            <w:tcW w:w="73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201</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03</w:t>
            </w: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政府办公厅（室）及相关机构事务</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583.53</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583.53</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583.53</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98"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201</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03</w:t>
            </w: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01</w:t>
            </w: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行政运行</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428.1</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428.1</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428.1</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36" w:hRule="atLeast"/>
        </w:trPr>
        <w:tc>
          <w:tcPr>
            <w:tcW w:w="628"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201</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50</w:t>
            </w: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事业运行</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155.43</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155.43</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155.43</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3"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208</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社会保障和就业支出</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100.07</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100.07</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100.07</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88"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208</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05</w:t>
            </w: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行政事业单位养老支出</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100.07</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100.07</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100.07</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349"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208</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05</w:t>
            </w: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01</w:t>
            </w: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行政单位离退休</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5.80</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5.80</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5.80</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48"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208</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05</w:t>
            </w: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02</w:t>
            </w: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事业单位离退休</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0.28</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0.28</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0.28</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208</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05</w:t>
            </w: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05</w:t>
            </w: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机关事业单位基本养老保险缴费支出</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62.66</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62.66</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62.66</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208</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05</w:t>
            </w: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06</w:t>
            </w: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机关事业单位职业年金缴费支出</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31.33</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31.33</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31.33</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210</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卫生健康支出</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36.75</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36.75</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36.75</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210</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11</w:t>
            </w: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行政事业单位医疗</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36.75</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36.75</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36.75</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210</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11</w:t>
            </w: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01</w:t>
            </w: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行政单位医疗</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17.51</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17.51</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17.51</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210</w:t>
            </w:r>
            <w:r>
              <w:rPr>
                <w:rFonts w:hint="default" w:ascii="Times New Roman" w:hAnsi="Times New Roman" w:eastAsia="仿宋_GB2312" w:cs="Times New Roman"/>
                <w:color w:val="auto"/>
                <w:sz w:val="18"/>
                <w:szCs w:val="18"/>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11</w:t>
            </w:r>
            <w:r>
              <w:rPr>
                <w:rFonts w:hint="default" w:ascii="Times New Roman" w:hAnsi="Times New Roman" w:eastAsia="仿宋_GB2312" w:cs="Times New Roman"/>
                <w:color w:val="auto"/>
                <w:sz w:val="18"/>
                <w:szCs w:val="18"/>
                <w:highlight w:val="none"/>
              </w:rPr>
              <w:t>　</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02</w:t>
            </w:r>
            <w:r>
              <w:rPr>
                <w:rFonts w:hint="default" w:ascii="Times New Roman" w:hAnsi="Times New Roman" w:eastAsia="仿宋_GB2312" w:cs="Times New Roman"/>
                <w:color w:val="auto"/>
                <w:sz w:val="18"/>
                <w:szCs w:val="18"/>
                <w:highlight w:val="none"/>
              </w:rPr>
              <w:t>　</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事业单位医疗</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11.27</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11.27</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11.27</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16"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210</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11</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03</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公务员医疗补助</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7.97</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7.97</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7.97</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16"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221</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住房保障支出</w:t>
            </w:r>
          </w:p>
        </w:tc>
        <w:tc>
          <w:tcPr>
            <w:tcW w:w="7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46.99</w:t>
            </w:r>
          </w:p>
        </w:tc>
        <w:tc>
          <w:tcPr>
            <w:tcW w:w="863"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46.99</w:t>
            </w:r>
          </w:p>
        </w:tc>
        <w:tc>
          <w:tcPr>
            <w:tcW w:w="73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46.99</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15"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221</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02</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i w:val="0"/>
                <w:iCs w:val="0"/>
                <w:color w:val="000000"/>
                <w:kern w:val="0"/>
                <w:sz w:val="18"/>
                <w:szCs w:val="18"/>
                <w:u w:val="none"/>
                <w:lang w:val="en-US" w:eastAsia="zh-CN" w:bidi="ar"/>
              </w:rPr>
              <w:t>住房改革支出</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46.99</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46.99</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46.99</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221</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02</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01</w:t>
            </w:r>
          </w:p>
        </w:tc>
        <w:tc>
          <w:tcPr>
            <w:tcW w:w="258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住房公积金</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46.99</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46.99</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46.99</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2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1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25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bCs/>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79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767.34　</w:t>
            </w:r>
          </w:p>
        </w:tc>
        <w:tc>
          <w:tcPr>
            <w:tcW w:w="86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767.34　</w:t>
            </w:r>
          </w:p>
        </w:tc>
        <w:tc>
          <w:tcPr>
            <w:tcW w:w="7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767.34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9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1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0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ind w:left="7200" w:hanging="7200" w:hangingChars="3000"/>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焉耆回族自治县人民政府办公室</w:t>
      </w:r>
      <w:r>
        <w:rPr>
          <w:rFonts w:hint="eastAsia" w:ascii="仿宋_GB2312" w:hAnsi="宋体" w:eastAsia="仿宋_GB2312"/>
          <w:color w:val="auto"/>
          <w:kern w:val="0"/>
          <w:sz w:val="24"/>
          <w:highlight w:val="none"/>
        </w:rPr>
        <w:t xml:space="preserve">                     单位：万元</w:t>
      </w:r>
    </w:p>
    <w:tbl>
      <w:tblPr>
        <w:tblStyle w:val="11"/>
        <w:tblW w:w="9779" w:type="dxa"/>
        <w:tblInd w:w="-345" w:type="dxa"/>
        <w:tblLayout w:type="autofit"/>
        <w:tblCellMar>
          <w:top w:w="0" w:type="dxa"/>
          <w:left w:w="108" w:type="dxa"/>
          <w:bottom w:w="0" w:type="dxa"/>
          <w:right w:w="108" w:type="dxa"/>
        </w:tblCellMar>
      </w:tblPr>
      <w:tblGrid>
        <w:gridCol w:w="637"/>
        <w:gridCol w:w="428"/>
        <w:gridCol w:w="428"/>
        <w:gridCol w:w="3268"/>
        <w:gridCol w:w="1807"/>
        <w:gridCol w:w="1731"/>
        <w:gridCol w:w="1480"/>
      </w:tblGrid>
      <w:tr>
        <w:tblPrEx>
          <w:tblCellMar>
            <w:top w:w="0" w:type="dxa"/>
            <w:left w:w="108" w:type="dxa"/>
            <w:bottom w:w="0" w:type="dxa"/>
            <w:right w:w="108" w:type="dxa"/>
          </w:tblCellMar>
        </w:tblPrEx>
        <w:trPr>
          <w:trHeight w:val="407" w:hRule="atLeast"/>
        </w:trPr>
        <w:tc>
          <w:tcPr>
            <w:tcW w:w="476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5018"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CellMar>
            <w:top w:w="0" w:type="dxa"/>
            <w:left w:w="108" w:type="dxa"/>
            <w:bottom w:w="0" w:type="dxa"/>
            <w:right w:w="108" w:type="dxa"/>
          </w:tblCellMar>
        </w:tblPrEx>
        <w:trPr>
          <w:trHeight w:val="686" w:hRule="atLeast"/>
        </w:trPr>
        <w:tc>
          <w:tcPr>
            <w:tcW w:w="149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326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80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73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48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CellMar>
            <w:top w:w="0" w:type="dxa"/>
            <w:left w:w="108" w:type="dxa"/>
            <w:bottom w:w="0" w:type="dxa"/>
            <w:right w:w="108" w:type="dxa"/>
          </w:tblCellMar>
        </w:tblPrEx>
        <w:trPr>
          <w:trHeight w:val="349" w:hRule="atLeast"/>
        </w:trPr>
        <w:tc>
          <w:tcPr>
            <w:tcW w:w="63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326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0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48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一般公共服务支出</w:t>
            </w:r>
          </w:p>
        </w:tc>
        <w:tc>
          <w:tcPr>
            <w:tcW w:w="1807"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583.53</w:t>
            </w:r>
          </w:p>
        </w:tc>
        <w:tc>
          <w:tcPr>
            <w:tcW w:w="1731"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583.53</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政府办公厅（室）及相关机构事务</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583.53</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583.53</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行政运行</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428.1</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428.1</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w:t>
            </w: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事业运行</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155.43</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155.43</w:t>
            </w:r>
          </w:p>
        </w:tc>
        <w:tc>
          <w:tcPr>
            <w:tcW w:w="148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社会保障和就业支出</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100.07</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100.07</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行政事业单位养老支出</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100.07</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100.07</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行政单位离退休</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5.80</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5.80</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事业单位离退休</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0.28</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0.28</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机关事业单位基本养老保险缴费支出</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62.66</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62.66</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机关事业单位职业年金缴费支出</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31.33</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31.33</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卫生健康支出</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36.75</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36.75</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行政事业单位医疗</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36.75</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36.75</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行政单位医疗</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17.51</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17.51</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事业单位医疗</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11.27</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11.27</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03</w:t>
            </w: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公务员医疗补助</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7.97</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7.97</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住房保障支出</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46.99</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46.99</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住房改革支出</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46.99</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46.99</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99"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26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_GB2312" w:hAnsi="仿宋_GB2312" w:eastAsia="仿宋_GB2312" w:cs="仿宋_GB2312"/>
                <w:i w:val="0"/>
                <w:iCs w:val="0"/>
                <w:color w:val="000000"/>
                <w:kern w:val="0"/>
                <w:sz w:val="18"/>
                <w:szCs w:val="18"/>
                <w:u w:val="none"/>
                <w:lang w:val="en-US" w:eastAsia="zh-CN" w:bidi="ar"/>
              </w:rPr>
              <w:t>住房公积金</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46.99</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46.99</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511" w:hRule="atLeast"/>
        </w:trPr>
        <w:tc>
          <w:tcPr>
            <w:tcW w:w="637"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28"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3268" w:type="dxa"/>
            <w:tcBorders>
              <w:top w:val="nil"/>
              <w:left w:val="nil"/>
              <w:bottom w:val="single" w:color="auto" w:sz="4" w:space="0"/>
              <w:right w:val="single" w:color="auto" w:sz="4" w:space="0"/>
            </w:tcBorders>
            <w:shd w:val="clear" w:color="auto" w:fill="auto"/>
            <w:noWrap w:val="0"/>
            <w:vAlign w:val="center"/>
          </w:tcPr>
          <w:p>
            <w:pPr>
              <w:jc w:val="center"/>
              <w:rPr>
                <w:rFonts w:ascii="仿宋_GB2312" w:hAnsi="宋体" w:eastAsia="仿宋_GB2312" w:cs="宋体"/>
                <w:color w:val="auto"/>
                <w:kern w:val="2"/>
                <w:sz w:val="20"/>
                <w:szCs w:val="20"/>
                <w:highlight w:val="none"/>
                <w:lang w:val="en-US" w:eastAsia="zh-CN" w:bidi="ar-SA"/>
              </w:rPr>
            </w:pPr>
            <w:r>
              <w:rPr>
                <w:rFonts w:hint="eastAsia" w:ascii="仿宋_GB2312" w:eastAsia="仿宋_GB2312"/>
                <w:b/>
                <w:bCs/>
                <w:color w:val="auto"/>
                <w:sz w:val="20"/>
                <w:szCs w:val="20"/>
                <w:highlight w:val="none"/>
              </w:rPr>
              <w:t>合  计</w:t>
            </w:r>
            <w:r>
              <w:rPr>
                <w:rFonts w:hint="eastAsia" w:ascii="仿宋_GB2312" w:eastAsia="仿宋_GB2312"/>
                <w:color w:val="auto"/>
                <w:sz w:val="20"/>
                <w:szCs w:val="20"/>
                <w:highlight w:val="none"/>
              </w:rPr>
              <w:t>　</w:t>
            </w:r>
          </w:p>
        </w:tc>
        <w:tc>
          <w:tcPr>
            <w:tcW w:w="180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767.34　</w:t>
            </w:r>
          </w:p>
        </w:tc>
        <w:tc>
          <w:tcPr>
            <w:tcW w:w="173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767.34　</w:t>
            </w:r>
          </w:p>
        </w:tc>
        <w:tc>
          <w:tcPr>
            <w:tcW w:w="14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ind w:left="7200" w:hanging="7200" w:hangingChars="3000"/>
        <w:jc w:val="left"/>
        <w:outlineLvl w:val="1"/>
        <w:rPr>
          <w:rFonts w:hint="eastAsia" w:ascii="仿宋_GB2312" w:hAnsi="宋体" w:eastAsia="仿宋_GB2312"/>
          <w:color w:val="auto"/>
          <w:kern w:val="0"/>
          <w:sz w:val="24"/>
          <w:szCs w:val="24"/>
          <w:highlight w:val="none"/>
        </w:rPr>
      </w:pPr>
    </w:p>
    <w:p>
      <w:pPr>
        <w:widowControl/>
        <w:spacing w:before="120" w:beforeLines="50" w:line="280" w:lineRule="exact"/>
        <w:ind w:left="7200" w:hanging="7200" w:hangingChars="3000"/>
        <w:jc w:val="lef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编制单位：</w:t>
      </w:r>
      <w:r>
        <w:rPr>
          <w:rFonts w:hint="eastAsia" w:ascii="仿宋_GB2312" w:hAnsi="宋体" w:eastAsia="仿宋_GB2312"/>
          <w:color w:val="auto"/>
          <w:kern w:val="0"/>
          <w:sz w:val="24"/>
          <w:szCs w:val="24"/>
          <w:highlight w:val="none"/>
          <w:lang w:eastAsia="zh-CN"/>
        </w:rPr>
        <w:t>焉耆回族自治县人民政府办公室</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olor w:val="auto"/>
          <w:kern w:val="0"/>
          <w:sz w:val="24"/>
          <w:szCs w:val="24"/>
          <w:highlight w:val="none"/>
        </w:rPr>
        <w:t xml:space="preserve">             单位：万元</w:t>
      </w:r>
    </w:p>
    <w:tbl>
      <w:tblPr>
        <w:tblStyle w:val="11"/>
        <w:tblW w:w="9449" w:type="dxa"/>
        <w:tblInd w:w="-240" w:type="dxa"/>
        <w:tblLayout w:type="autofit"/>
        <w:tblCellMar>
          <w:top w:w="0" w:type="dxa"/>
          <w:left w:w="108" w:type="dxa"/>
          <w:bottom w:w="0" w:type="dxa"/>
          <w:right w:w="108" w:type="dxa"/>
        </w:tblCellMar>
      </w:tblPr>
      <w:tblGrid>
        <w:gridCol w:w="1936"/>
        <w:gridCol w:w="914"/>
        <w:gridCol w:w="2673"/>
        <w:gridCol w:w="955"/>
        <w:gridCol w:w="905"/>
        <w:gridCol w:w="1029"/>
        <w:gridCol w:w="1037"/>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6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9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9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103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Hans"/>
              </w:rPr>
              <w:t>一、</w:t>
            </w:r>
            <w:r>
              <w:rPr>
                <w:rFonts w:hint="eastAsia" w:ascii="仿宋_GB2312" w:hAnsi="宋体" w:eastAsia="仿宋_GB2312" w:cs="宋体"/>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767.34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583.53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583.53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767.34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100.07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100.07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36.75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36.75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5"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46.99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46.99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29"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03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767.34　</w:t>
            </w:r>
          </w:p>
        </w:tc>
        <w:tc>
          <w:tcPr>
            <w:tcW w:w="2673"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val="0"/>
                <w:bCs w:val="0"/>
                <w:color w:val="auto"/>
                <w:kern w:val="0"/>
                <w:sz w:val="20"/>
                <w:szCs w:val="20"/>
                <w:highlight w:val="none"/>
              </w:rPr>
            </w:pPr>
            <w:r>
              <w:rPr>
                <w:rFonts w:hint="eastAsia" w:ascii="仿宋_GB2312" w:hAnsi="宋体" w:eastAsia="仿宋_GB2312" w:cs="宋体"/>
                <w:b w:val="0"/>
                <w:bCs w:val="0"/>
                <w:color w:val="auto"/>
                <w:kern w:val="0"/>
                <w:sz w:val="20"/>
                <w:szCs w:val="20"/>
                <w:highlight w:val="none"/>
              </w:rPr>
              <w:t>支  出  总  计</w:t>
            </w:r>
          </w:p>
        </w:tc>
        <w:tc>
          <w:tcPr>
            <w:tcW w:w="9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767.34　</w:t>
            </w:r>
          </w:p>
        </w:tc>
        <w:tc>
          <w:tcPr>
            <w:tcW w:w="9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767.34　</w:t>
            </w:r>
          </w:p>
        </w:tc>
        <w:tc>
          <w:tcPr>
            <w:tcW w:w="2066"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bl>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11"/>
        <w:tblW w:w="9292" w:type="dxa"/>
        <w:tblInd w:w="-34" w:type="dxa"/>
        <w:tblLayout w:type="autofit"/>
        <w:tblCellMar>
          <w:top w:w="0" w:type="dxa"/>
          <w:left w:w="108" w:type="dxa"/>
          <w:bottom w:w="0" w:type="dxa"/>
          <w:right w:w="108" w:type="dxa"/>
        </w:tblCellMar>
      </w:tblPr>
      <w:tblGrid>
        <w:gridCol w:w="516"/>
        <w:gridCol w:w="499"/>
        <w:gridCol w:w="502"/>
        <w:gridCol w:w="2991"/>
        <w:gridCol w:w="1714"/>
        <w:gridCol w:w="1587"/>
        <w:gridCol w:w="1405"/>
        <w:gridCol w:w="78"/>
      </w:tblGrid>
      <w:tr>
        <w:tblPrEx>
          <w:tblCellMar>
            <w:top w:w="0" w:type="dxa"/>
            <w:left w:w="108" w:type="dxa"/>
            <w:bottom w:w="0" w:type="dxa"/>
            <w:right w:w="108" w:type="dxa"/>
          </w:tblCellMar>
        </w:tblPrEx>
        <w:trPr>
          <w:gridAfter w:val="1"/>
          <w:wAfter w:w="78" w:type="dxa"/>
          <w:trHeight w:val="450" w:hRule="atLeast"/>
        </w:trPr>
        <w:tc>
          <w:tcPr>
            <w:tcW w:w="9214" w:type="dxa"/>
            <w:gridSpan w:val="7"/>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92" w:type="dxa"/>
            <w:gridSpan w:val="8"/>
            <w:tcBorders>
              <w:top w:val="nil"/>
              <w:left w:val="nil"/>
              <w:bottom w:val="nil"/>
              <w:right w:val="nil"/>
            </w:tcBorders>
            <w:noWrap w:val="0"/>
            <w:vAlign w:val="center"/>
          </w:tcPr>
          <w:p>
            <w:pPr>
              <w:widowControl/>
              <w:jc w:val="left"/>
              <w:rPr>
                <w:rFonts w:hint="eastAsia" w:ascii="仿宋_GB2312" w:hAnsi="宋体" w:eastAsia="仿宋_GB2312" w:cs="宋体"/>
                <w:color w:val="auto"/>
                <w:kern w:val="0"/>
                <w:sz w:val="24"/>
                <w:highlight w:val="none"/>
              </w:rPr>
            </w:pPr>
          </w:p>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szCs w:val="24"/>
                <w:highlight w:val="none"/>
                <w:lang w:eastAsia="zh-CN"/>
              </w:rPr>
              <w:t>焉耆回族自治县人民政府办公室</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gridAfter w:val="1"/>
          <w:wAfter w:w="78" w:type="dxa"/>
          <w:trHeight w:val="405" w:hRule="atLeast"/>
        </w:trPr>
        <w:tc>
          <w:tcPr>
            <w:tcW w:w="4508"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470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78" w:type="dxa"/>
          <w:trHeight w:val="465" w:hRule="atLeast"/>
        </w:trPr>
        <w:tc>
          <w:tcPr>
            <w:tcW w:w="151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9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71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58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40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gridAfter w:val="1"/>
          <w:wAfter w:w="78" w:type="dxa"/>
          <w:trHeight w:val="30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299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71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58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40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一般公共服务支出</w:t>
            </w:r>
          </w:p>
        </w:tc>
        <w:tc>
          <w:tcPr>
            <w:tcW w:w="1714"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583.53</w:t>
            </w:r>
          </w:p>
        </w:tc>
        <w:tc>
          <w:tcPr>
            <w:tcW w:w="1587" w:type="dxa"/>
            <w:tcBorders>
              <w:top w:val="nil"/>
              <w:left w:val="nil"/>
              <w:bottom w:val="single" w:color="auto" w:sz="4" w:space="0"/>
              <w:right w:val="single" w:color="auto" w:sz="4" w:space="0"/>
            </w:tcBorders>
            <w:shd w:val="clear" w:color="000000" w:fill="FFFFFF"/>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583.53</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政府办公厅（室）及相关机构事务</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583.53</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583.53</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行政运行</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428.1</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428.1</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50</w:t>
            </w: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事业运行</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155.43</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155.43</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r>
      <w:tr>
        <w:tblPrEx>
          <w:tblCellMar>
            <w:top w:w="0" w:type="dxa"/>
            <w:left w:w="108" w:type="dxa"/>
            <w:bottom w:w="0" w:type="dxa"/>
            <w:right w:w="108" w:type="dxa"/>
          </w:tblCellMar>
        </w:tblPrEx>
        <w:trPr>
          <w:gridAfter w:val="1"/>
          <w:wAfter w:w="78" w:type="dxa"/>
          <w:trHeight w:val="40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社会保障和就业支出</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100.0</w:t>
            </w:r>
            <w:r>
              <w:rPr>
                <w:rFonts w:hint="eastAsia" w:eastAsia="仿宋_GB2312" w:cs="Times New Roman"/>
                <w:color w:val="auto"/>
                <w:kern w:val="0"/>
                <w:sz w:val="18"/>
                <w:szCs w:val="18"/>
                <w:highlight w:val="none"/>
                <w:lang w:val="en-US" w:eastAsia="zh-CN"/>
              </w:rPr>
              <w:t>7</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100.0</w:t>
            </w:r>
            <w:r>
              <w:rPr>
                <w:rFonts w:hint="eastAsia" w:eastAsia="仿宋_GB2312" w:cs="Times New Roman"/>
                <w:color w:val="auto"/>
                <w:kern w:val="0"/>
                <w:sz w:val="18"/>
                <w:szCs w:val="18"/>
                <w:highlight w:val="none"/>
                <w:lang w:val="en-US" w:eastAsia="zh-CN"/>
              </w:rPr>
              <w:t>7</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行政事业单位养老支出</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100.0</w:t>
            </w:r>
            <w:r>
              <w:rPr>
                <w:rFonts w:hint="eastAsia" w:eastAsia="仿宋_GB2312" w:cs="Times New Roman"/>
                <w:color w:val="auto"/>
                <w:kern w:val="0"/>
                <w:sz w:val="18"/>
                <w:szCs w:val="18"/>
                <w:highlight w:val="none"/>
                <w:lang w:val="en-US" w:eastAsia="zh-CN"/>
              </w:rPr>
              <w:t>7</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100.0</w:t>
            </w:r>
            <w:r>
              <w:rPr>
                <w:rFonts w:hint="eastAsia" w:eastAsia="仿宋_GB2312" w:cs="Times New Roman"/>
                <w:color w:val="auto"/>
                <w:kern w:val="0"/>
                <w:sz w:val="18"/>
                <w:szCs w:val="18"/>
                <w:highlight w:val="none"/>
                <w:lang w:val="en-US" w:eastAsia="zh-CN"/>
              </w:rPr>
              <w:t>7</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行政单位离退休</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5.80</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5.80</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事业单位离退休</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0.28</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0.28</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机关事业单位基本养老保险缴费支出</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62.66</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62.66</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机关事业单位职业年金缴费支出</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31.33</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31.33</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卫生健康支出</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36.75</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36.75</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行政事业单位医疗</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36.75</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36.75</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行政单位医疗</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17.51</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17.51</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事业单位医疗</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11.27</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11.27</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11</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03</w:t>
            </w: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公务员医疗补助</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7.97</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7.97</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住房保障支出</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46.99</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46.99</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2991"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住房改革支出</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46.99</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46.99</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w:t>
            </w: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49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50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9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宋体" w:cs="Times New Roman"/>
                <w:color w:val="auto"/>
                <w:kern w:val="0"/>
                <w:sz w:val="20"/>
                <w:szCs w:val="20"/>
                <w:highlight w:val="none"/>
                <w:lang w:eastAsia="zh-CN"/>
              </w:rPr>
            </w:pPr>
            <w:r>
              <w:rPr>
                <w:rFonts w:hint="default" w:ascii="Times New Roman" w:hAnsi="Times New Roman" w:cs="Times New Roman"/>
                <w:color w:val="auto"/>
                <w:kern w:val="0"/>
                <w:sz w:val="20"/>
                <w:szCs w:val="20"/>
                <w:highlight w:val="none"/>
                <w:lang w:eastAsia="zh-CN"/>
              </w:rPr>
              <w:t>住房公积金</w:t>
            </w:r>
          </w:p>
        </w:tc>
        <w:tc>
          <w:tcPr>
            <w:tcW w:w="171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rPr>
              <w:t>46.99</w:t>
            </w:r>
          </w:p>
        </w:tc>
        <w:tc>
          <w:tcPr>
            <w:tcW w:w="1587"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仿宋_GB2312" w:cs="Times New Roman"/>
                <w:color w:val="auto"/>
                <w:kern w:val="0"/>
                <w:sz w:val="18"/>
                <w:szCs w:val="18"/>
                <w:highlight w:val="none"/>
                <w:lang w:val="en-US" w:eastAsia="zh-CN"/>
              </w:rPr>
              <w:t>46.99</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r>
      <w:tr>
        <w:tblPrEx>
          <w:tblCellMar>
            <w:top w:w="0" w:type="dxa"/>
            <w:left w:w="108" w:type="dxa"/>
            <w:bottom w:w="0" w:type="dxa"/>
            <w:right w:w="108" w:type="dxa"/>
          </w:tblCellMar>
        </w:tblPrEx>
        <w:trPr>
          <w:gridAfter w:val="1"/>
          <w:wAfter w:w="78" w:type="dxa"/>
          <w:trHeight w:val="450" w:hRule="atLeast"/>
        </w:trPr>
        <w:tc>
          <w:tcPr>
            <w:tcW w:w="516"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c>
          <w:tcPr>
            <w:tcW w:w="29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71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767.34</w:t>
            </w:r>
          </w:p>
        </w:tc>
        <w:tc>
          <w:tcPr>
            <w:tcW w:w="15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767.34</w:t>
            </w:r>
          </w:p>
        </w:tc>
        <w:tc>
          <w:tcPr>
            <w:tcW w:w="140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18"/>
                <w:szCs w:val="18"/>
                <w:highlight w:val="none"/>
                <w:lang w:val="en-US" w:eastAsia="zh-CN"/>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11"/>
        <w:tblW w:w="9328" w:type="dxa"/>
        <w:tblInd w:w="-148" w:type="dxa"/>
        <w:tblLayout w:type="autofit"/>
        <w:tblCellMar>
          <w:top w:w="0" w:type="dxa"/>
          <w:left w:w="108" w:type="dxa"/>
          <w:bottom w:w="0" w:type="dxa"/>
          <w:right w:w="108" w:type="dxa"/>
        </w:tblCellMar>
      </w:tblPr>
      <w:tblGrid>
        <w:gridCol w:w="757"/>
        <w:gridCol w:w="744"/>
        <w:gridCol w:w="2823"/>
        <w:gridCol w:w="1665"/>
        <w:gridCol w:w="1666"/>
        <w:gridCol w:w="1673"/>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318" w:hRule="atLeast"/>
        </w:trPr>
        <w:tc>
          <w:tcPr>
            <w:tcW w:w="9328" w:type="dxa"/>
            <w:gridSpan w:val="6"/>
            <w:tcBorders>
              <w:top w:val="nil"/>
              <w:left w:val="nil"/>
              <w:bottom w:val="nil"/>
              <w:right w:val="nil"/>
            </w:tcBorders>
            <w:noWrap w:val="0"/>
            <w:vAlign w:val="center"/>
          </w:tcPr>
          <w:p>
            <w:pPr>
              <w:widowControl/>
              <w:jc w:val="left"/>
              <w:rPr>
                <w:rFonts w:hint="eastAsia" w:ascii="仿宋_GB2312" w:hAnsi="宋体" w:eastAsia="仿宋_GB2312" w:cs="宋体"/>
                <w:color w:val="auto"/>
                <w:kern w:val="0"/>
                <w:sz w:val="24"/>
                <w:highlight w:val="none"/>
              </w:rPr>
            </w:pPr>
          </w:p>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szCs w:val="24"/>
                <w:highlight w:val="none"/>
                <w:lang w:eastAsia="zh-CN"/>
              </w:rPr>
              <w:t>焉耆回族自治县人民政府办公室</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32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004"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13" w:hRule="atLeast"/>
        </w:trPr>
        <w:tc>
          <w:tcPr>
            <w:tcW w:w="1501"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82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66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66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67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82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66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66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67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eastAsia="zh-CN"/>
              </w:rPr>
            </w:pP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工资福利支出</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598.73</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598.73</w:t>
            </w: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i w:val="0"/>
                <w:iCs w:val="0"/>
                <w:color w:val="000000"/>
                <w:kern w:val="0"/>
                <w:sz w:val="18"/>
                <w:szCs w:val="18"/>
                <w:u w:val="none"/>
                <w:lang w:val="en-US" w:eastAsia="zh-CN" w:bidi="ar"/>
              </w:rPr>
              <w:t>01</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基本工资</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201.24</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201.24</w:t>
            </w: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津贴补贴</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217.47</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217.47</w:t>
            </w: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08</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机关事业单位基本养老保险缴费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62.66</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62.66</w:t>
            </w: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15"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09</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职业年金缴费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31.33</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31.33</w:t>
            </w: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10</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职工基本医疗保险缴费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28.28</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28.28</w:t>
            </w: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11</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公务员医疗补助缴费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7.97</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7.97</w:t>
            </w: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12</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其他社会保障缴费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2.7</w:t>
            </w:r>
            <w:r>
              <w:rPr>
                <w:rFonts w:hint="eastAsia" w:eastAsia="仿宋_GB2312" w:cs="Times New Roman"/>
                <w:color w:val="auto"/>
                <w:kern w:val="0"/>
                <w:sz w:val="18"/>
                <w:szCs w:val="18"/>
                <w:highlight w:val="none"/>
                <w:lang w:val="en-US" w:eastAsia="zh-CN"/>
              </w:rPr>
              <w:t>9</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2.7</w:t>
            </w:r>
            <w:r>
              <w:rPr>
                <w:rFonts w:hint="eastAsia" w:eastAsia="仿宋_GB2312" w:cs="Times New Roman"/>
                <w:color w:val="auto"/>
                <w:kern w:val="0"/>
                <w:sz w:val="18"/>
                <w:szCs w:val="18"/>
                <w:highlight w:val="none"/>
                <w:lang w:val="en-US" w:eastAsia="zh-CN"/>
              </w:rPr>
              <w:t>9</w:t>
            </w: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301</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13</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住房公积金</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46.99</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46.99</w:t>
            </w: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商品与服务支出</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162.52</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162.52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01</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办公费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7.25</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7.25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印刷费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1.74</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1.74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水费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1.60</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1.60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06</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电费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1.89</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1.89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07</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邮电费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2.03</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08</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取暖费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30.78</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30.78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17</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公务接待费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95.00</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95.00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28</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工会经费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0.08</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0.08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29</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福利费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0.0</w:t>
            </w:r>
            <w:r>
              <w:rPr>
                <w:rFonts w:hint="eastAsia" w:eastAsia="仿宋_GB2312" w:cs="Times New Roman"/>
                <w:color w:val="auto"/>
                <w:kern w:val="0"/>
                <w:sz w:val="18"/>
                <w:szCs w:val="18"/>
                <w:highlight w:val="none"/>
                <w:lang w:val="en-US" w:eastAsia="zh-CN"/>
              </w:rPr>
              <w:t>5</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0.0</w:t>
            </w:r>
            <w:r>
              <w:rPr>
                <w:rFonts w:hint="eastAsia" w:eastAsia="仿宋_GB2312" w:cs="Times New Roman"/>
                <w:color w:val="auto"/>
                <w:kern w:val="0"/>
                <w:sz w:val="18"/>
                <w:szCs w:val="18"/>
                <w:highlight w:val="none"/>
                <w:lang w:val="en-US" w:eastAsia="zh-CN"/>
              </w:rPr>
              <w:t>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18"/>
                <w:szCs w:val="18"/>
                <w:u w:val="none"/>
                <w:lang w:val="en-US" w:eastAsia="zh-CN" w:bidi="ar"/>
              </w:rPr>
              <w:t>302</w:t>
            </w:r>
          </w:p>
        </w:tc>
        <w:tc>
          <w:tcPr>
            <w:tcW w:w="74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31</w:t>
            </w:r>
          </w:p>
        </w:tc>
        <w:tc>
          <w:tcPr>
            <w:tcW w:w="282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公务用车运行维护费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22.10</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22.10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303</w:t>
            </w:r>
            <w:r>
              <w:rPr>
                <w:rFonts w:hint="default" w:ascii="Times New Roman" w:hAnsi="Times New Roman" w:eastAsia="仿宋_GB2312" w:cs="Times New Roman"/>
                <w:color w:val="auto"/>
                <w:kern w:val="0"/>
                <w:sz w:val="20"/>
                <w:szCs w:val="20"/>
                <w:highlight w:val="none"/>
              </w:rPr>
              <w:t>　</w:t>
            </w:r>
          </w:p>
        </w:tc>
        <w:tc>
          <w:tcPr>
            <w:tcW w:w="7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2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olor w:val="000000"/>
                <w:kern w:val="0"/>
                <w:sz w:val="18"/>
                <w:szCs w:val="18"/>
                <w:u w:val="none"/>
                <w:lang w:val="en-US" w:eastAsia="zh-CN" w:bidi="ar"/>
              </w:rPr>
              <w:t>对个人和家庭补助</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6.09　</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6.09</w:t>
            </w:r>
            <w:r>
              <w:rPr>
                <w:rFonts w:hint="eastAsia" w:ascii="Times New Roman" w:hAnsi="Times New Roman" w:eastAsia="仿宋_GB2312" w:cs="Times New Roman"/>
                <w:color w:val="auto"/>
                <w:kern w:val="0"/>
                <w:sz w:val="18"/>
                <w:szCs w:val="18"/>
                <w:highlight w:val="none"/>
                <w:lang w:val="en-US" w:eastAsia="zh-CN"/>
              </w:rPr>
              <w:t>　</w:t>
            </w: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303</w:t>
            </w:r>
          </w:p>
        </w:tc>
        <w:tc>
          <w:tcPr>
            <w:tcW w:w="74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02</w:t>
            </w:r>
          </w:p>
        </w:tc>
        <w:tc>
          <w:tcPr>
            <w:tcW w:w="282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退休费</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6.09</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6.09</w:t>
            </w: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74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82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6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767.34</w:t>
            </w:r>
          </w:p>
        </w:tc>
        <w:tc>
          <w:tcPr>
            <w:tcW w:w="166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604.82</w:t>
            </w:r>
          </w:p>
        </w:tc>
        <w:tc>
          <w:tcPr>
            <w:tcW w:w="167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　162.52</w:t>
            </w:r>
          </w:p>
        </w:tc>
      </w:tr>
    </w:tbl>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1"/>
        <w:tblW w:w="9621" w:type="dxa"/>
        <w:tblInd w:w="-441" w:type="dxa"/>
        <w:tblLayout w:type="autofit"/>
        <w:tblCellMar>
          <w:top w:w="0" w:type="dxa"/>
          <w:left w:w="108" w:type="dxa"/>
          <w:bottom w:w="0" w:type="dxa"/>
          <w:right w:w="108" w:type="dxa"/>
        </w:tblCellMar>
      </w:tblPr>
      <w:tblGrid>
        <w:gridCol w:w="81"/>
        <w:gridCol w:w="417"/>
        <w:gridCol w:w="417"/>
        <w:gridCol w:w="480"/>
        <w:gridCol w:w="765"/>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After w:val="1"/>
          <w:wAfter w:w="77" w:type="dxa"/>
          <w:trHeight w:val="375" w:hRule="atLeast"/>
        </w:trPr>
        <w:tc>
          <w:tcPr>
            <w:tcW w:w="9544" w:type="dxa"/>
            <w:gridSpan w:val="17"/>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1"/>
          <w:wAfter w:w="77" w:type="dxa"/>
          <w:trHeight w:val="405" w:hRule="atLeast"/>
        </w:trPr>
        <w:tc>
          <w:tcPr>
            <w:tcW w:w="9544" w:type="dxa"/>
            <w:gridSpan w:val="17"/>
            <w:tcBorders>
              <w:top w:val="nil"/>
              <w:left w:val="nil"/>
              <w:bottom w:val="nil"/>
              <w:right w:val="nil"/>
            </w:tcBorders>
            <w:noWrap w:val="0"/>
            <w:vAlign w:val="center"/>
          </w:tcPr>
          <w:p>
            <w:pPr>
              <w:widowControl/>
              <w:jc w:val="left"/>
              <w:rPr>
                <w:rFonts w:hint="eastAsia" w:ascii="仿宋_GB2312" w:hAnsi="宋体" w:eastAsia="仿宋_GB2312" w:cs="宋体"/>
                <w:color w:val="auto"/>
                <w:kern w:val="0"/>
                <w:sz w:val="24"/>
                <w:highlight w:val="none"/>
              </w:rPr>
            </w:pPr>
          </w:p>
          <w:p>
            <w:pPr>
              <w:widowControl/>
              <w:jc w:val="left"/>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szCs w:val="24"/>
                <w:highlight w:val="none"/>
                <w:lang w:eastAsia="zh-CN"/>
              </w:rPr>
              <w:t>焉耆回族自治县人民政府办公室</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trHeight w:val="630" w:hRule="atLeast"/>
        </w:trPr>
        <w:tc>
          <w:tcPr>
            <w:tcW w:w="1314" w:type="dxa"/>
            <w:gridSpan w:val="3"/>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765"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3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61"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3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trHeight w:val="1367" w:hRule="atLeast"/>
        </w:trPr>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80"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765"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80" w:type="dxa"/>
            <w:noWrap w:val="0"/>
            <w:vAlign w:val="top"/>
          </w:tcPr>
          <w:p>
            <w:pPr>
              <w:widowControl/>
              <w:jc w:val="left"/>
              <w:outlineLvl w:val="1"/>
              <w:rPr>
                <w:rFonts w:ascii="仿宋_GB2312" w:hAnsi="宋体" w:eastAsia="仿宋_GB2312"/>
                <w:color w:val="auto"/>
                <w:kern w:val="0"/>
                <w:sz w:val="32"/>
                <w:szCs w:val="32"/>
                <w:highlight w:val="none"/>
              </w:rPr>
            </w:pPr>
          </w:p>
        </w:tc>
        <w:tc>
          <w:tcPr>
            <w:tcW w:w="76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6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6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6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6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6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80" w:type="dxa"/>
            <w:noWrap w:val="0"/>
            <w:vAlign w:val="top"/>
          </w:tcPr>
          <w:p>
            <w:pPr>
              <w:widowControl/>
              <w:jc w:val="left"/>
              <w:outlineLvl w:val="1"/>
              <w:rPr>
                <w:rFonts w:ascii="仿宋_GB2312" w:hAnsi="宋体" w:eastAsia="仿宋_GB2312"/>
                <w:color w:val="auto"/>
                <w:kern w:val="0"/>
                <w:sz w:val="32"/>
                <w:szCs w:val="32"/>
                <w:highlight w:val="none"/>
              </w:rPr>
            </w:pPr>
          </w:p>
        </w:tc>
        <w:tc>
          <w:tcPr>
            <w:tcW w:w="765" w:type="dxa"/>
            <w:noWrap w:val="0"/>
            <w:vAlign w:val="top"/>
          </w:tcPr>
          <w:p>
            <w:pPr>
              <w:widowControl/>
              <w:jc w:val="left"/>
              <w:outlineLvl w:val="1"/>
              <w:rPr>
                <w:rFonts w:ascii="仿宋_GB2312" w:hAnsi="宋体" w:eastAsia="仿宋_GB2312"/>
                <w:color w:val="auto"/>
                <w:kern w:val="0"/>
                <w:sz w:val="32"/>
                <w:szCs w:val="32"/>
                <w:highlight w:val="none"/>
              </w:rPr>
            </w:pP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6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1" w:type="dxa"/>
          <w:trHeight w:val="585" w:hRule="atLeast"/>
        </w:trPr>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8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65"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32" w:type="dxa"/>
            <w:noWrap w:val="0"/>
            <w:vAlign w:val="center"/>
          </w:tcPr>
          <w:p>
            <w:pPr>
              <w:widowControl/>
              <w:jc w:val="center"/>
              <w:outlineLvl w:val="1"/>
              <w:rPr>
                <w:rFonts w:ascii="仿宋_GB2312" w:hAnsi="宋体" w:eastAsia="仿宋_GB2312"/>
                <w:color w:val="auto"/>
                <w:kern w:val="0"/>
                <w:szCs w:val="21"/>
                <w:highlight w:val="none"/>
              </w:rPr>
            </w:pP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widowControl/>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val="en-US" w:eastAsia="zh-CN"/>
        </w:rPr>
        <w:t>2025年本单位无一般公共预算</w:t>
      </w:r>
      <w:r>
        <w:rPr>
          <w:rFonts w:hint="eastAsia" w:ascii="仿宋_GB2312" w:hAnsi="宋体" w:eastAsia="仿宋_GB2312"/>
          <w:b/>
          <w:color w:val="auto"/>
          <w:kern w:val="0"/>
          <w:sz w:val="28"/>
          <w:szCs w:val="32"/>
          <w:highlight w:val="none"/>
        </w:rPr>
        <w:t>项目支出，</w:t>
      </w:r>
      <w:r>
        <w:rPr>
          <w:rFonts w:hint="eastAsia" w:ascii="仿宋_GB2312" w:hAnsi="宋体" w:eastAsia="仿宋_GB2312"/>
          <w:b/>
          <w:color w:val="auto"/>
          <w:kern w:val="0"/>
          <w:sz w:val="28"/>
          <w:szCs w:val="32"/>
          <w:highlight w:val="none"/>
          <w:lang w:eastAsia="zh-CN"/>
        </w:rPr>
        <w:t>此</w:t>
      </w:r>
      <w:r>
        <w:rPr>
          <w:rFonts w:hint="eastAsia" w:ascii="仿宋_GB2312" w:hAnsi="宋体" w:eastAsia="仿宋_GB2312"/>
          <w:b/>
          <w:color w:val="auto"/>
          <w:kern w:val="0"/>
          <w:sz w:val="28"/>
          <w:szCs w:val="32"/>
          <w:highlight w:val="none"/>
        </w:rPr>
        <w:t>表为空表。</w:t>
      </w:r>
    </w:p>
    <w:p>
      <w:pPr>
        <w:widowControl/>
        <w:outlineLvl w:val="1"/>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olor w:val="auto"/>
          <w:kern w:val="0"/>
          <w:sz w:val="24"/>
          <w:szCs w:val="24"/>
          <w:highlight w:val="none"/>
          <w:lang w:eastAsia="zh-CN"/>
        </w:rPr>
        <w:t>焉耆回族自治县人民政府办公室</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1"/>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lang w:val="en-US" w:eastAsia="zh-CN"/>
        </w:rPr>
        <w:t>备注：</w:t>
      </w:r>
      <w:r>
        <w:rPr>
          <w:rFonts w:hint="eastAsia" w:ascii="仿宋_GB2312" w:hAnsi="宋体" w:eastAsia="仿宋_GB2312"/>
          <w:b/>
          <w:color w:val="auto"/>
          <w:kern w:val="0"/>
          <w:sz w:val="28"/>
          <w:szCs w:val="32"/>
          <w:highlight w:val="none"/>
        </w:rPr>
        <w:t>202</w:t>
      </w:r>
      <w:r>
        <w:rPr>
          <w:rFonts w:hint="eastAsia" w:ascii="仿宋_GB2312" w:hAnsi="宋体" w:eastAsia="仿宋_GB2312"/>
          <w:b/>
          <w:color w:val="auto"/>
          <w:kern w:val="0"/>
          <w:sz w:val="28"/>
          <w:szCs w:val="32"/>
          <w:highlight w:val="none"/>
          <w:lang w:val="en-US" w:eastAsia="zh-CN"/>
        </w:rPr>
        <w:t>5</w:t>
      </w:r>
      <w:r>
        <w:rPr>
          <w:rFonts w:hint="eastAsia" w:ascii="仿宋_GB2312" w:hAnsi="宋体" w:eastAsia="仿宋_GB2312"/>
          <w:b/>
          <w:color w:val="auto"/>
          <w:kern w:val="0"/>
          <w:sz w:val="28"/>
          <w:szCs w:val="32"/>
          <w:highlight w:val="none"/>
        </w:rPr>
        <w:t>年</w:t>
      </w:r>
      <w:r>
        <w:rPr>
          <w:rFonts w:hint="eastAsia" w:ascii="仿宋_GB2312" w:hAnsi="宋体" w:eastAsia="仿宋_GB2312"/>
          <w:b/>
          <w:color w:val="auto"/>
          <w:kern w:val="0"/>
          <w:sz w:val="28"/>
          <w:szCs w:val="32"/>
          <w:highlight w:val="none"/>
          <w:lang w:eastAsia="zh-CN"/>
        </w:rPr>
        <w:t>本单位无</w:t>
      </w:r>
      <w:r>
        <w:rPr>
          <w:rFonts w:hint="eastAsia" w:ascii="仿宋_GB2312" w:hAnsi="宋体" w:eastAsia="仿宋_GB2312"/>
          <w:b/>
          <w:color w:val="auto"/>
          <w:kern w:val="0"/>
          <w:sz w:val="28"/>
          <w:szCs w:val="32"/>
          <w:highlight w:val="none"/>
        </w:rPr>
        <w:t>政府性基金预算支出，</w:t>
      </w:r>
      <w:r>
        <w:rPr>
          <w:rFonts w:hint="eastAsia" w:ascii="仿宋_GB2312" w:hAnsi="宋体" w:eastAsia="仿宋_GB2312"/>
          <w:b/>
          <w:color w:val="auto"/>
          <w:kern w:val="0"/>
          <w:sz w:val="28"/>
          <w:szCs w:val="32"/>
          <w:highlight w:val="none"/>
          <w:lang w:eastAsia="zh-CN"/>
        </w:rPr>
        <w:t>此</w:t>
      </w:r>
      <w:r>
        <w:rPr>
          <w:rFonts w:hint="eastAsia" w:ascii="仿宋_GB2312" w:hAnsi="宋体" w:eastAsia="仿宋_GB2312"/>
          <w:b/>
          <w:color w:val="auto"/>
          <w:kern w:val="0"/>
          <w:sz w:val="28"/>
          <w:szCs w:val="32"/>
          <w:highlight w:val="none"/>
        </w:rPr>
        <w:t>表为空表。</w:t>
      </w:r>
    </w:p>
    <w:p>
      <w:pPr>
        <w:widowControl/>
        <w:outlineLvl w:val="1"/>
        <w:rPr>
          <w:rFonts w:hint="eastAsia" w:ascii="仿宋_GB2312" w:hAnsi="宋体" w:eastAsia="仿宋_GB2312"/>
          <w:b/>
          <w:color w:val="auto"/>
          <w:kern w:val="0"/>
          <w:sz w:val="28"/>
          <w:szCs w:val="32"/>
          <w:highlight w:val="none"/>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4"/>
          <w:szCs w:val="24"/>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widowControl/>
        <w:outlineLvl w:val="1"/>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jc w:val="left"/>
        <w:rPr>
          <w:rFonts w:hint="eastAsia" w:ascii="仿宋_GB2312" w:hAnsi="宋体" w:eastAsia="仿宋_GB2312"/>
          <w:color w:val="auto"/>
          <w:kern w:val="0"/>
          <w:sz w:val="24"/>
          <w:highlight w:val="none"/>
        </w:rPr>
      </w:pP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szCs w:val="24"/>
          <w:highlight w:val="none"/>
          <w:lang w:eastAsia="zh-CN"/>
        </w:rPr>
        <w:t>焉耆回族自治县人民政府办公室</w:t>
      </w:r>
      <w:r>
        <w:rPr>
          <w:rFonts w:hint="eastAsia" w:ascii="仿宋_GB2312" w:hAnsi="宋体" w:eastAsia="仿宋_GB2312"/>
          <w:color w:val="auto"/>
          <w:kern w:val="0"/>
          <w:sz w:val="24"/>
          <w:highlight w:val="none"/>
        </w:rPr>
        <w:t xml:space="preserve">                 单位：万元</w:t>
      </w:r>
    </w:p>
    <w:tbl>
      <w:tblPr>
        <w:tblStyle w:val="11"/>
        <w:tblpPr w:leftFromText="181" w:rightFromText="181" w:vertAnchor="text" w:horzAnchor="page" w:tblpX="1770" w:tblpY="1"/>
        <w:tblOverlap w:val="never"/>
        <w:tblW w:w="9214" w:type="dxa"/>
        <w:tblInd w:w="0"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备注：2025年本单位未安排国有资本经营预算支出，此表为空表。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4"/>
        <w:rPr>
          <w:rFonts w:hint="eastAsia"/>
          <w:lang w:val="en-US" w:eastAsia="zh-CN"/>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left"/>
        <w:rPr>
          <w:rFonts w:hint="eastAsia" w:ascii="仿宋_GB2312" w:hAnsi="宋体" w:eastAsia="仿宋_GB2312"/>
          <w:color w:val="auto"/>
          <w:kern w:val="0"/>
          <w:sz w:val="24"/>
          <w:highlight w:val="none"/>
        </w:rPr>
      </w:pPr>
    </w:p>
    <w:p>
      <w:pPr>
        <w:widowControl/>
        <w:jc w:val="left"/>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olor w:val="auto"/>
          <w:kern w:val="0"/>
          <w:sz w:val="24"/>
          <w:szCs w:val="24"/>
          <w:highlight w:val="none"/>
          <w:lang w:eastAsia="zh-CN"/>
        </w:rPr>
        <w:t>焉耆回族自治县人民政府办公室</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2"/>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1"/>
        <w:gridCol w:w="1256"/>
        <w:gridCol w:w="1264"/>
        <w:gridCol w:w="1496"/>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restart"/>
            <w:noWrap w:val="0"/>
            <w:vAlign w:val="center"/>
          </w:tcPr>
          <w:p>
            <w:pPr>
              <w:widowControl/>
              <w:jc w:val="center"/>
              <w:outlineLvl w:val="1"/>
              <w:rPr>
                <w:rFonts w:hint="eastAsia" w:ascii="仿宋_GB2312" w:hAnsi="宋体" w:eastAsia="仿宋_GB2312"/>
                <w:b/>
                <w:color w:val="auto"/>
                <w:kern w:val="0"/>
                <w:sz w:val="28"/>
                <w:szCs w:val="28"/>
                <w:highlight w:val="none"/>
                <w:vertAlign w:val="baseline"/>
              </w:rPr>
            </w:pPr>
            <w:r>
              <w:rPr>
                <w:rFonts w:hint="eastAsia" w:ascii="仿宋_GB2312" w:hAnsi="宋体" w:eastAsia="仿宋_GB2312"/>
                <w:b/>
                <w:color w:val="auto"/>
                <w:kern w:val="0"/>
                <w:sz w:val="28"/>
                <w:szCs w:val="28"/>
                <w:highlight w:val="none"/>
                <w:vertAlign w:val="baseline"/>
                <w:lang w:eastAsia="zh-CN"/>
              </w:rPr>
              <w:t>“</w:t>
            </w:r>
            <w:r>
              <w:rPr>
                <w:rFonts w:hint="eastAsia" w:ascii="仿宋_GB2312" w:hAnsi="宋体" w:eastAsia="仿宋_GB2312"/>
                <w:b/>
                <w:color w:val="auto"/>
                <w:kern w:val="0"/>
                <w:sz w:val="28"/>
                <w:szCs w:val="28"/>
                <w:highlight w:val="none"/>
                <w:vertAlign w:val="baseline"/>
              </w:rPr>
              <w:t>三公</w:t>
            </w:r>
            <w:r>
              <w:rPr>
                <w:rFonts w:hint="eastAsia" w:ascii="仿宋_GB2312" w:hAnsi="宋体" w:eastAsia="仿宋_GB2312"/>
                <w:b/>
                <w:color w:val="auto"/>
                <w:kern w:val="0"/>
                <w:sz w:val="28"/>
                <w:szCs w:val="28"/>
                <w:highlight w:val="none"/>
                <w:vertAlign w:val="baseline"/>
                <w:lang w:eastAsia="zh-CN"/>
              </w:rPr>
              <w:t>”</w:t>
            </w:r>
            <w:r>
              <w:rPr>
                <w:rFonts w:hint="eastAsia" w:ascii="仿宋_GB2312" w:hAnsi="宋体" w:eastAsia="仿宋_GB2312"/>
                <w:b/>
                <w:color w:val="auto"/>
                <w:kern w:val="0"/>
                <w:sz w:val="28"/>
                <w:szCs w:val="28"/>
                <w:highlight w:val="none"/>
                <w:vertAlign w:val="baseline"/>
                <w:lang w:val="en-US" w:eastAsia="zh-CN"/>
              </w:rPr>
              <w:t>经费</w:t>
            </w:r>
            <w:r>
              <w:rPr>
                <w:rFonts w:hint="eastAsia" w:ascii="仿宋_GB2312" w:hAnsi="宋体" w:eastAsia="仿宋_GB2312"/>
                <w:b/>
                <w:color w:val="auto"/>
                <w:kern w:val="0"/>
                <w:sz w:val="28"/>
                <w:szCs w:val="28"/>
                <w:highlight w:val="none"/>
                <w:vertAlign w:val="baseline"/>
              </w:rPr>
              <w:t>支出内容</w:t>
            </w:r>
          </w:p>
        </w:tc>
        <w:tc>
          <w:tcPr>
            <w:tcW w:w="1256" w:type="dxa"/>
            <w:vMerge w:val="restart"/>
            <w:noWrap w:val="0"/>
            <w:vAlign w:val="center"/>
          </w:tcPr>
          <w:p>
            <w:pPr>
              <w:widowControl/>
              <w:jc w:val="center"/>
              <w:outlineLvl w:val="1"/>
              <w:rPr>
                <w:rFonts w:hint="eastAsia" w:ascii="仿宋_GB2312" w:hAnsi="宋体" w:eastAsia="仿宋_GB2312"/>
                <w:b/>
                <w:color w:val="auto"/>
                <w:kern w:val="0"/>
                <w:sz w:val="28"/>
                <w:szCs w:val="28"/>
                <w:highlight w:val="none"/>
                <w:vertAlign w:val="baseline"/>
                <w:lang w:val="en-US" w:eastAsia="zh-Hans"/>
              </w:rPr>
            </w:pPr>
            <w:r>
              <w:rPr>
                <w:rFonts w:hint="eastAsia" w:ascii="仿宋_GB2312" w:hAnsi="宋体" w:eastAsia="仿宋_GB2312"/>
                <w:b/>
                <w:color w:val="auto"/>
                <w:kern w:val="0"/>
                <w:sz w:val="28"/>
                <w:szCs w:val="28"/>
                <w:highlight w:val="none"/>
                <w:vertAlign w:val="baseline"/>
                <w:lang w:val="en-US" w:eastAsia="zh-Hans"/>
              </w:rPr>
              <w:t>合计</w:t>
            </w:r>
          </w:p>
        </w:tc>
        <w:tc>
          <w:tcPr>
            <w:tcW w:w="4288" w:type="dxa"/>
            <w:gridSpan w:val="3"/>
            <w:noWrap w:val="0"/>
            <w:vAlign w:val="center"/>
          </w:tcPr>
          <w:p>
            <w:pPr>
              <w:widowControl/>
              <w:jc w:val="center"/>
              <w:outlineLvl w:val="1"/>
              <w:rPr>
                <w:rFonts w:hint="eastAsia" w:ascii="仿宋_GB2312" w:hAnsi="宋体" w:eastAsia="仿宋_GB2312"/>
                <w:b/>
                <w:color w:val="auto"/>
                <w:kern w:val="0"/>
                <w:sz w:val="28"/>
                <w:szCs w:val="28"/>
                <w:highlight w:val="none"/>
                <w:vertAlign w:val="baseline"/>
                <w:lang w:val="en-US" w:eastAsia="zh-Hans"/>
              </w:rPr>
            </w:pPr>
            <w:r>
              <w:rPr>
                <w:rFonts w:hint="eastAsia" w:ascii="仿宋_GB2312" w:hAnsi="宋体" w:eastAsia="仿宋_GB2312"/>
                <w:b/>
                <w:color w:val="auto"/>
                <w:kern w:val="0"/>
                <w:sz w:val="28"/>
                <w:szCs w:val="28"/>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noWrap w:val="0"/>
            <w:vAlign w:val="top"/>
          </w:tcPr>
          <w:p>
            <w:pPr>
              <w:widowControl/>
              <w:outlineLvl w:val="1"/>
              <w:rPr>
                <w:rFonts w:hint="eastAsia" w:ascii="仿宋_GB2312" w:hAnsi="宋体" w:eastAsia="仿宋_GB2312"/>
                <w:b/>
                <w:color w:val="auto"/>
                <w:kern w:val="0"/>
                <w:sz w:val="28"/>
                <w:szCs w:val="28"/>
                <w:highlight w:val="none"/>
                <w:vertAlign w:val="baseline"/>
              </w:rPr>
            </w:pPr>
          </w:p>
        </w:tc>
        <w:tc>
          <w:tcPr>
            <w:tcW w:w="1256" w:type="dxa"/>
            <w:vMerge w:val="continue"/>
            <w:noWrap w:val="0"/>
            <w:vAlign w:val="top"/>
          </w:tcPr>
          <w:p>
            <w:pPr>
              <w:widowControl/>
              <w:outlineLvl w:val="1"/>
              <w:rPr>
                <w:rFonts w:hint="eastAsia" w:ascii="仿宋_GB2312" w:hAnsi="宋体" w:eastAsia="仿宋_GB2312"/>
                <w:b/>
                <w:color w:val="auto"/>
                <w:kern w:val="0"/>
                <w:sz w:val="28"/>
                <w:szCs w:val="28"/>
                <w:highlight w:val="none"/>
                <w:vertAlign w:val="baseline"/>
              </w:rPr>
            </w:pPr>
          </w:p>
        </w:tc>
        <w:tc>
          <w:tcPr>
            <w:tcW w:w="1264" w:type="dxa"/>
            <w:noWrap w:val="0"/>
            <w:vAlign w:val="center"/>
          </w:tcPr>
          <w:p>
            <w:pPr>
              <w:widowControl/>
              <w:jc w:val="center"/>
              <w:outlineLvl w:val="1"/>
              <w:rPr>
                <w:rFonts w:hint="eastAsia" w:ascii="仿宋_GB2312" w:hAnsi="宋体" w:eastAsia="仿宋_GB2312"/>
                <w:b/>
                <w:color w:val="auto"/>
                <w:kern w:val="0"/>
                <w:sz w:val="28"/>
                <w:szCs w:val="28"/>
                <w:highlight w:val="none"/>
                <w:vertAlign w:val="baseline"/>
                <w:lang w:val="en-US" w:eastAsia="zh-Hans"/>
              </w:rPr>
            </w:pPr>
            <w:r>
              <w:rPr>
                <w:rFonts w:hint="eastAsia" w:ascii="仿宋_GB2312" w:hAnsi="宋体" w:eastAsia="仿宋_GB2312"/>
                <w:b/>
                <w:color w:val="auto"/>
                <w:kern w:val="0"/>
                <w:sz w:val="28"/>
                <w:szCs w:val="28"/>
                <w:highlight w:val="none"/>
                <w:vertAlign w:val="baseline"/>
                <w:lang w:val="en-US" w:eastAsia="zh-Hans"/>
              </w:rPr>
              <w:t>一般公共预算</w:t>
            </w:r>
          </w:p>
        </w:tc>
        <w:tc>
          <w:tcPr>
            <w:tcW w:w="1496" w:type="dxa"/>
            <w:noWrap w:val="0"/>
            <w:vAlign w:val="center"/>
          </w:tcPr>
          <w:p>
            <w:pPr>
              <w:widowControl/>
              <w:jc w:val="center"/>
              <w:outlineLvl w:val="1"/>
              <w:rPr>
                <w:rFonts w:hint="eastAsia" w:ascii="仿宋_GB2312" w:hAnsi="宋体" w:eastAsia="仿宋_GB2312"/>
                <w:b/>
                <w:color w:val="auto"/>
                <w:kern w:val="0"/>
                <w:sz w:val="28"/>
                <w:szCs w:val="28"/>
                <w:highlight w:val="none"/>
                <w:vertAlign w:val="baseline"/>
              </w:rPr>
            </w:pPr>
            <w:r>
              <w:rPr>
                <w:rFonts w:hint="eastAsia" w:ascii="仿宋_GB2312" w:hAnsi="宋体" w:eastAsia="仿宋_GB2312"/>
                <w:b/>
                <w:color w:val="auto"/>
                <w:kern w:val="0"/>
                <w:sz w:val="28"/>
                <w:szCs w:val="28"/>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noWrap w:val="0"/>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合计</w:t>
            </w:r>
          </w:p>
        </w:tc>
        <w:tc>
          <w:tcPr>
            <w:tcW w:w="1256" w:type="dxa"/>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117.10</w:t>
            </w:r>
          </w:p>
        </w:tc>
        <w:tc>
          <w:tcPr>
            <w:tcW w:w="1264" w:type="dxa"/>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117.10</w:t>
            </w:r>
          </w:p>
        </w:tc>
        <w:tc>
          <w:tcPr>
            <w:tcW w:w="1496" w:type="dxa"/>
            <w:noWrap w:val="0"/>
            <w:vAlign w:val="top"/>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noWrap w:val="0"/>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因公出国（境）费</w:t>
            </w:r>
          </w:p>
        </w:tc>
        <w:tc>
          <w:tcPr>
            <w:tcW w:w="1256" w:type="dxa"/>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lang w:val="en-US" w:eastAsia="zh-CN"/>
              </w:rPr>
            </w:pPr>
          </w:p>
        </w:tc>
        <w:tc>
          <w:tcPr>
            <w:tcW w:w="1264" w:type="dxa"/>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lang w:val="en-US" w:eastAsia="zh-CN"/>
              </w:rPr>
            </w:pPr>
          </w:p>
        </w:tc>
        <w:tc>
          <w:tcPr>
            <w:tcW w:w="1496" w:type="dxa"/>
            <w:noWrap w:val="0"/>
            <w:vAlign w:val="top"/>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noWrap w:val="0"/>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公务接待费</w:t>
            </w:r>
          </w:p>
        </w:tc>
        <w:tc>
          <w:tcPr>
            <w:tcW w:w="1256" w:type="dxa"/>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95</w:t>
            </w:r>
          </w:p>
        </w:tc>
        <w:tc>
          <w:tcPr>
            <w:tcW w:w="1264" w:type="dxa"/>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95</w:t>
            </w:r>
          </w:p>
        </w:tc>
        <w:tc>
          <w:tcPr>
            <w:tcW w:w="1496" w:type="dxa"/>
            <w:noWrap w:val="0"/>
            <w:vAlign w:val="top"/>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noWrap w:val="0"/>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公务用车购置及运行费</w:t>
            </w:r>
          </w:p>
          <w:p>
            <w:pPr>
              <w:keepNext w:val="0"/>
              <w:keepLines w:val="0"/>
              <w:widowControl/>
              <w:suppressLineNumbers w:val="0"/>
              <w:jc w:val="both"/>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（小计）</w:t>
            </w:r>
          </w:p>
        </w:tc>
        <w:tc>
          <w:tcPr>
            <w:tcW w:w="1256" w:type="dxa"/>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22.1</w:t>
            </w:r>
          </w:p>
        </w:tc>
        <w:tc>
          <w:tcPr>
            <w:tcW w:w="1264" w:type="dxa"/>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22.1</w:t>
            </w:r>
          </w:p>
        </w:tc>
        <w:tc>
          <w:tcPr>
            <w:tcW w:w="1496" w:type="dxa"/>
            <w:noWrap w:val="0"/>
            <w:vAlign w:val="top"/>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noWrap w:val="0"/>
            <w:vAlign w:val="top"/>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其中：公务用车购置费</w:t>
            </w:r>
          </w:p>
        </w:tc>
        <w:tc>
          <w:tcPr>
            <w:tcW w:w="1256" w:type="dxa"/>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lang w:val="en-US" w:eastAsia="zh-CN"/>
              </w:rPr>
            </w:pPr>
          </w:p>
        </w:tc>
        <w:tc>
          <w:tcPr>
            <w:tcW w:w="1264" w:type="dxa"/>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lang w:val="en-US" w:eastAsia="zh-CN"/>
              </w:rPr>
            </w:pPr>
          </w:p>
        </w:tc>
        <w:tc>
          <w:tcPr>
            <w:tcW w:w="1496" w:type="dxa"/>
            <w:noWrap w:val="0"/>
            <w:vAlign w:val="top"/>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noWrap w:val="0"/>
            <w:vAlign w:val="top"/>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公务用车运行费</w:t>
            </w:r>
          </w:p>
        </w:tc>
        <w:tc>
          <w:tcPr>
            <w:tcW w:w="1256" w:type="dxa"/>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22.1</w:t>
            </w:r>
          </w:p>
        </w:tc>
        <w:tc>
          <w:tcPr>
            <w:tcW w:w="1264" w:type="dxa"/>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rPr>
              <w:t>22.1</w:t>
            </w:r>
          </w:p>
        </w:tc>
        <w:tc>
          <w:tcPr>
            <w:tcW w:w="1496" w:type="dxa"/>
            <w:noWrap w:val="0"/>
            <w:vAlign w:val="top"/>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widowControl/>
        <w:outlineLvl w:val="1"/>
        <w:rPr>
          <w:rFonts w:hint="eastAsia" w:ascii="仿宋_GB2312" w:hAnsi="宋体" w:eastAsia="仿宋_GB2312"/>
          <w:b/>
          <w:color w:val="auto"/>
          <w:kern w:val="0"/>
          <w:sz w:val="24"/>
          <w:szCs w:val="24"/>
          <w:highlight w:val="none"/>
          <w:lang w:val="en-US" w:eastAsia="zh-CN"/>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color w:val="auto"/>
          <w:kern w:val="0"/>
          <w:sz w:val="24"/>
          <w:highlight w:val="none"/>
        </w:rPr>
      </w:pP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焉耆回族自治县人民政府办公室</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2"/>
        <w:tblpPr w:leftFromText="181" w:rightFromText="181" w:vertAnchor="text" w:horzAnchor="page" w:tblpX="851" w:tblpY="18"/>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备注：2025年本单位未无上年结转结余情况，此表为空表。</w:t>
      </w:r>
    </w:p>
    <w:p>
      <w:pPr>
        <w:widowControl/>
        <w:outlineLvl w:val="1"/>
        <w:rPr>
          <w:rFonts w:ascii="仿宋_GB2312" w:hAnsi="宋体" w:eastAsia="仿宋_GB2312"/>
          <w:color w:val="auto"/>
          <w:kern w:val="0"/>
          <w:sz w:val="32"/>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一、关于焉耆回族自治县人民政府办公室2025年收支预算情况的总体说明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按照全口径预算的原则，焉耆回族自治县人民政府办公室2025年所有收入和支出均纳入单位预算管理。收支总预算767.34万元。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支出预算包括:一般公共服务支出、社会保障和就业支出、卫生健康支出、住房保障支出。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二、关于焉耆回族自治县人民政府办公室2025年收入预算情况说明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焉耆回族自治县人民政府办公室收入预算767.34万元，其中：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一般公共预算767.34万元，占100%，比上年预算减少136.83万元，下降15.13%，主要原因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厉行节约压缩开支，信访局机构改革人员调出。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Hans"/>
        </w:rPr>
      </w:pPr>
      <w:r>
        <w:rPr>
          <w:rFonts w:hint="eastAsia" w:ascii="Times New Roman" w:hAnsi="Times New Roman" w:eastAsia="仿宋_GB2312" w:cs="Times New Roman"/>
          <w:color w:val="auto"/>
          <w:kern w:val="0"/>
          <w:sz w:val="32"/>
          <w:szCs w:val="32"/>
          <w:highlight w:val="none"/>
          <w:lang w:val="en-US" w:eastAsia="zh-Hans"/>
        </w:rPr>
        <w:t>上级</w:t>
      </w:r>
      <w:r>
        <w:rPr>
          <w:rFonts w:hint="eastAsia" w:ascii="Times New Roman" w:hAnsi="Times New Roman" w:eastAsia="仿宋_GB2312" w:cs="Times New Roman"/>
          <w:color w:val="auto"/>
          <w:kern w:val="0"/>
          <w:sz w:val="32"/>
          <w:szCs w:val="32"/>
          <w:highlight w:val="none"/>
          <w:lang w:val="en-US" w:eastAsia="zh-CN"/>
        </w:rPr>
        <w:t>一般公共预算</w:t>
      </w:r>
      <w:r>
        <w:rPr>
          <w:rFonts w:hint="eastAsia" w:ascii="Times New Roman" w:hAnsi="Times New Roman" w:eastAsia="仿宋_GB2312" w:cs="Times New Roman"/>
          <w:color w:val="auto"/>
          <w:kern w:val="0"/>
          <w:sz w:val="32"/>
          <w:szCs w:val="32"/>
          <w:highlight w:val="none"/>
          <w:lang w:val="en-US" w:eastAsia="zh-Hans"/>
        </w:rPr>
        <w:t>安排的转移支付资金</w:t>
      </w:r>
      <w:r>
        <w:rPr>
          <w:rFonts w:hint="eastAsia" w:ascii="Times New Roman" w:hAnsi="Times New Roman" w:eastAsia="仿宋_GB2312" w:cs="Times New Roman"/>
          <w:color w:val="auto"/>
          <w:kern w:val="0"/>
          <w:sz w:val="32"/>
          <w:szCs w:val="32"/>
          <w:highlight w:val="none"/>
          <w:lang w:val="en-US" w:eastAsia="zh-CN"/>
        </w:rPr>
        <w:t>未安</w:t>
      </w:r>
      <w:r>
        <w:rPr>
          <w:rFonts w:hint="eastAsia" w:ascii="Times New Roman" w:hAnsi="Times New Roman" w:eastAsia="仿宋_GB2312" w:cs="Times New Roman"/>
          <w:color w:val="auto"/>
          <w:kern w:val="0"/>
          <w:sz w:val="32"/>
          <w:szCs w:val="32"/>
          <w:highlight w:val="none"/>
          <w:lang w:val="en-US" w:eastAsia="zh-Hans"/>
        </w:rPr>
        <w:t>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上级政府性基金预算转移支付未安排。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上级国有资本经营预算安排的转移支付资金</w:t>
      </w:r>
      <w:r>
        <w:rPr>
          <w:rFonts w:hint="eastAsia" w:ascii="Times New Roman" w:hAnsi="Times New Roman" w:eastAsia="仿宋_GB2312" w:cs="Times New Roman"/>
          <w:color w:val="auto"/>
          <w:kern w:val="0"/>
          <w:sz w:val="32"/>
          <w:szCs w:val="32"/>
          <w:highlight w:val="none"/>
          <w:lang w:val="en-US" w:eastAsia="zh-CN"/>
        </w:rPr>
        <w:t>未安排。</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关于焉耆回族自治县人民政府办公室2025年支出预算情况说明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焉耆回族自治县人民政府办公室2025年</w:t>
      </w:r>
      <w:r>
        <w:rPr>
          <w:rFonts w:hint="default" w:ascii="Times New Roman" w:hAnsi="Times New Roman" w:eastAsia="仿宋_GB2312" w:cs="Times New Roman"/>
          <w:color w:val="auto"/>
          <w:kern w:val="0"/>
          <w:sz w:val="32"/>
          <w:szCs w:val="32"/>
          <w:highlight w:val="none"/>
        </w:rPr>
        <w:t>支出预算</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67.34</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767.34</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136.83</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15.13%，</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厉行节约压缩开支，信访局机构改革人员调出。</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四、关于焉耆回族自治县人民政府办公室2025年财政拨款收支预算情况的总体说明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2025年财政拨款收支总预算767.34万元。收入全部为一般公共预算，不包含政府性基金预算和国有资本经营预算。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收入预算包括：一般公共预算拨款767.34万元。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一般公共预算支出包括:一般公共服务支出583.53万元，主要用于</w:t>
      </w:r>
      <w:r>
        <w:rPr>
          <w:rStyle w:val="17"/>
          <w:rFonts w:hint="default" w:ascii="Times New Roman" w:hAnsi="Times New Roman" w:eastAsia="仿宋_GB2312" w:cs="Times New Roman"/>
          <w:color w:val="auto"/>
          <w:szCs w:val="22"/>
          <w:lang w:val="en-US" w:eastAsia="zh-CN"/>
        </w:rPr>
        <w:t>人员福利支出，商品服务支出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仿宋_GB2312" w:cs="Times New Roman"/>
          <w:color w:val="auto"/>
          <w:szCs w:val="22"/>
          <w:lang w:val="en-US" w:eastAsia="zh-CN"/>
        </w:rPr>
      </w:pPr>
      <w:r>
        <w:rPr>
          <w:rFonts w:hint="default" w:ascii="Times New Roman" w:hAnsi="Times New Roman" w:eastAsia="仿宋_GB2312" w:cs="Times New Roman"/>
          <w:color w:val="auto"/>
          <w:kern w:val="0"/>
          <w:sz w:val="32"/>
          <w:szCs w:val="32"/>
          <w:highlight w:val="none"/>
          <w:lang w:val="en-US" w:eastAsia="zh-CN"/>
        </w:rPr>
        <w:t>社会保障和就业支出100.07万元,主要用于</w:t>
      </w:r>
      <w:r>
        <w:rPr>
          <w:rStyle w:val="17"/>
          <w:rFonts w:hint="default" w:ascii="Times New Roman" w:hAnsi="Times New Roman" w:eastAsia="仿宋_GB2312" w:cs="Times New Roman"/>
          <w:color w:val="auto"/>
          <w:szCs w:val="22"/>
          <w:lang w:val="en-US" w:eastAsia="zh-CN"/>
        </w:rPr>
        <w:t>行政事业单位养老保险缴费支出、行政事业单位职业年金缴费支出、行政事业单位退休人员退休费。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仿宋_GB2312" w:cs="Times New Roman"/>
          <w:color w:val="auto"/>
          <w:szCs w:val="22"/>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卫生健康支出36.75万元,主要用于</w:t>
      </w:r>
      <w:r>
        <w:rPr>
          <w:rStyle w:val="17"/>
          <w:rFonts w:hint="default" w:ascii="Times New Roman" w:hAnsi="Times New Roman" w:eastAsia="仿宋_GB2312" w:cs="Times New Roman"/>
          <w:color w:val="auto"/>
          <w:szCs w:val="22"/>
          <w:lang w:val="en-US" w:eastAsia="zh-CN"/>
        </w:rPr>
        <w:t>行政事业单位人员医疗保险缴费支出、公务员医疗保险缴费支出。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Style w:val="17"/>
          <w:rFonts w:hint="default" w:ascii="Times New Roman" w:hAnsi="Times New Roman" w:eastAsia="仿宋_GB2312" w:cs="Times New Roman"/>
          <w:color w:val="auto"/>
          <w:szCs w:val="22"/>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住房保障支出46.99万元，主要用于</w:t>
      </w:r>
      <w:r>
        <w:rPr>
          <w:rStyle w:val="17"/>
          <w:rFonts w:hint="default" w:ascii="Times New Roman" w:hAnsi="Times New Roman" w:eastAsia="仿宋_GB2312" w:cs="Times New Roman"/>
          <w:color w:val="auto"/>
          <w:szCs w:val="22"/>
          <w:lang w:val="en-US" w:eastAsia="zh-CN"/>
        </w:rPr>
        <w:t>行政事业人员住房公积金支出。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五、关于焉耆回族自治县人民政府办公室2025年一般公共预算当年拨款情况说明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焉耆回族自治县人民政府办公室2025年一般公共预算拨款合计767.34万元,其中：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基本支出767.34万元，比上年预算减少136.83万元，下降15.13%，主要原因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：厉行节约压缩开支，信访局机构改革人员调出。</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项目支出0万元，比上年预算增加0万元，增长0%，主要原因是：焉耆县政府办公室2025年度未安排项目支出预算。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lang w:eastAsia="zh-CN"/>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1.一般公共服务支出（类）583.53万元，占76.05%。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2.社会保障和就业支出（类）100.07万元，占13.04%。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3.卫生健康支出（类）36.75万元，占4.79%。</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4.住房保障支出（类）46.99万元，占6.12%。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1.一般公共服务支出（类）政府办公厅（室）及相关机构事务（款）行政运行(项):2025年预算数为428.1万元,比上年预算减少133.58万元,下降23.78%,主要原因是：厉行节约压缩开支，信访局机构改革人员调出。</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17"/>
          <w:rFonts w:hint="default" w:ascii="Times New Roman" w:hAnsi="Times New Roman" w:eastAsia="仿宋_GB2312" w:cs="Times New Roman"/>
          <w:color w:val="auto"/>
          <w:szCs w:val="22"/>
          <w:lang w:val="en-US" w:eastAsia="zh-CN"/>
        </w:rPr>
      </w:pPr>
      <w:r>
        <w:rPr>
          <w:rFonts w:hint="default" w:ascii="Times New Roman" w:hAnsi="Times New Roman" w:eastAsia="仿宋_GB2312" w:cs="Times New Roman"/>
          <w:color w:val="auto"/>
          <w:kern w:val="0"/>
          <w:sz w:val="32"/>
          <w:szCs w:val="32"/>
          <w:highlight w:val="none"/>
          <w:lang w:val="en-US" w:eastAsia="zh-CN"/>
        </w:rPr>
        <w:t>2.一般公共服务支出（类）政府办公厅（室）及相关机构事务（款）事业运行(项):2025年预算数为155.43万元，比上年预算增加16.94万元,增长12.23%,主要原因是：事业</w:t>
      </w:r>
      <w:r>
        <w:rPr>
          <w:rStyle w:val="17"/>
          <w:rFonts w:hint="default" w:ascii="Times New Roman" w:hAnsi="Times New Roman" w:eastAsia="仿宋_GB2312" w:cs="Times New Roman"/>
          <w:color w:val="auto"/>
          <w:szCs w:val="22"/>
          <w:lang w:val="en-US" w:eastAsia="zh-CN"/>
        </w:rPr>
        <w:t>人员工资及社保缴费基数增加。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3.社会保障和就业支出（类）行政事业单位养老支出（款）行政单位离退休(项):2025年预算数为5.8万元，比上年预算减少0.98万元,下降14.</w:t>
      </w:r>
      <w:r>
        <w:rPr>
          <w:rFonts w:hint="eastAsia" w:eastAsia="仿宋_GB2312" w:cs="Times New Roman"/>
          <w:color w:val="auto"/>
          <w:kern w:val="0"/>
          <w:sz w:val="32"/>
          <w:szCs w:val="32"/>
          <w:highlight w:val="none"/>
          <w:lang w:val="en-US" w:eastAsia="zh-CN"/>
        </w:rPr>
        <w:t>45</w:t>
      </w:r>
      <w:r>
        <w:rPr>
          <w:rFonts w:hint="default" w:ascii="Times New Roman" w:hAnsi="Times New Roman" w:eastAsia="仿宋_GB2312" w:cs="Times New Roman"/>
          <w:color w:val="auto"/>
          <w:kern w:val="0"/>
          <w:sz w:val="32"/>
          <w:szCs w:val="32"/>
          <w:highlight w:val="none"/>
          <w:lang w:val="en-US" w:eastAsia="zh-CN"/>
        </w:rPr>
        <w:t xml:space="preserve">%,主要原因是：离退休人员工资调整。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4.社会保障和就业支出（类）行政事业单位养老支出（款）事业单位离退休(项):2025年预算数为0.28万元，比上年预算增加0万元,增长</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%,主要原因是：事业退休人员较上年无变动。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5.社会保障和就业支出（类）行政事业单位养老支出（款）机关事业单位基本养老保险缴费支出(项):2025年预算数为62.66万元,比上年预算减少10.33万元,下降14.15%,主要原因是：新增退休人员，在职人员减少。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6.社会保障和就业支出（类）行政事业单位养老支出（款）机关事业单位职业年金缴费支出(项):2025年预算数为31.33万元，比上年预算减少5.17万元,下降14.17%,主要原因是：新增退休人员，在职人员减少。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7.卫生健康支出（类）行政事业单位医疗（款）行政单位医疗(项):2025年预算数为17.51万元，比上年预算减少6.01万元,下降25.54%,主要原因是：新增退休人员，在职人员减少。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8.卫生健康支出（类）行政事业单位医疗（款）事业单位医疗(项):2025年预算数为11.27万元，比上年预算增加2.85万元,增长33.</w:t>
      </w:r>
      <w:r>
        <w:rPr>
          <w:rFonts w:hint="eastAsia" w:eastAsia="仿宋_GB2312" w:cs="Times New Roman"/>
          <w:color w:val="auto"/>
          <w:kern w:val="0"/>
          <w:sz w:val="32"/>
          <w:szCs w:val="32"/>
          <w:highlight w:val="none"/>
          <w:lang w:val="en-US" w:eastAsia="zh-CN"/>
        </w:rPr>
        <w:t>85</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社保基数调增，事业医疗支出增加。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9.卫生健康支出（类）行政事业单位医疗（款）公务员医疗补助(项):2025年预算数为7.97万元,比上年预算增加7.</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万元,增长9</w:t>
      </w:r>
      <w:r>
        <w:rPr>
          <w:rFonts w:hint="eastAsia" w:ascii="Times New Roman" w:hAnsi="Times New Roman" w:eastAsia="仿宋_GB2312" w:cs="Times New Roman"/>
          <w:color w:val="auto"/>
          <w:kern w:val="0"/>
          <w:sz w:val="32"/>
          <w:szCs w:val="32"/>
          <w:highlight w:val="none"/>
          <w:lang w:val="en-US" w:eastAsia="zh-CN"/>
        </w:rPr>
        <w:t>35</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06</w:t>
      </w:r>
      <w:r>
        <w:rPr>
          <w:rFonts w:hint="default" w:ascii="Times New Roman" w:hAnsi="Times New Roman" w:eastAsia="仿宋_GB2312" w:cs="Times New Roman"/>
          <w:color w:val="auto"/>
          <w:kern w:val="0"/>
          <w:sz w:val="32"/>
          <w:szCs w:val="32"/>
          <w:highlight w:val="none"/>
          <w:lang w:val="en-US" w:eastAsia="zh-CN"/>
        </w:rPr>
        <w:t xml:space="preserve">%,主要原因是：社保缴费基数调整。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10.住房保障支出（类）住房改革支出（款）住房公积金(项):2025年预算数为46.99万元，比上年预算减少7.75万元,下降14.15%,主要原因是：新增退休人员，在职人员减少。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六、关于焉耆回族自治县人民政府办公室2025年一般公共预算基本支出情况说明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焉耆回族自治县人民政府办公室2025年一般公共预算基本支出767.34万元，其中：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人员经费604.82万元，主要包括:基本工资、津贴补贴、机关事业单位基本养老保险缴费、职业年金缴费、职工基本医疗保险缴费、公务员医疗补助缴费、其他社会保障缴费、住房公积金、退休费。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公用经费162.52万元，主要包括:办公费、印刷费、水费、电费、邮电费、取暖费、公务接待费、工会经费、福利费、公务用车运行维护费。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七、关于焉耆回族自治县人民政府办公室2025年一般公共预算项目支出情况说明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焉耆回族自治县人民政府办公室2025年没有使用一般公共预算项目支出，一般公共预算项目支出情况表为空表。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八、关于焉耆回族自治县人民政府办公室2025年政府性基金预算支出情况说明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焉耆回族自治县人民政府办公</w:t>
      </w:r>
      <w:r>
        <w:rPr>
          <w:rFonts w:hint="default" w:ascii="Times New Roman" w:hAnsi="Times New Roman" w:eastAsia="仿宋_GB2312" w:cs="Times New Roman"/>
          <w:color w:val="auto"/>
          <w:kern w:val="0"/>
          <w:sz w:val="32"/>
          <w:szCs w:val="32"/>
          <w:highlight w:val="none"/>
          <w:lang w:val="en-US" w:eastAsia="zh-CN"/>
        </w:rPr>
        <w:t>室2025年没有使用政府性基金预算拨款安排的支出，政府性基金预算支出情况表为空表。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九、关于焉耆回族自治县人民政府办公室2025年国有资本经营预算拨款情况说明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焉耆回族自治县人</w:t>
      </w:r>
      <w:r>
        <w:rPr>
          <w:rFonts w:hint="default" w:ascii="Times New Roman" w:hAnsi="Times New Roman" w:eastAsia="仿宋_GB2312" w:cs="Times New Roman"/>
          <w:color w:val="auto"/>
          <w:kern w:val="0"/>
          <w:sz w:val="32"/>
          <w:szCs w:val="32"/>
          <w:highlight w:val="none"/>
          <w:lang w:val="en-US" w:eastAsia="zh-CN"/>
        </w:rPr>
        <w:t>民政府办公室2025年没有使用国有资本经营预算拨款安排的支出，国有资本经营预算支出情况表为空表。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十、关于焉耆回族自治县人民政府办公室2025年财政拨款“三公”经费预算情况说明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焉耆回族自治县人民政府办公室2025年财政拨款“三公”经费数为117.1万元，其中：因公出国（境）费0万元,公务接待费95万元,公务用车购置费0万元,公务用车运行费22.1</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2025年财政拨款“三公”经费比上年预算减少15.9万元，下降</w:t>
      </w:r>
      <w:r>
        <w:rPr>
          <w:rFonts w:hint="eastAsia" w:eastAsia="仿宋_GB2312" w:cs="Times New Roman"/>
          <w:color w:val="auto"/>
          <w:kern w:val="0"/>
          <w:sz w:val="32"/>
          <w:szCs w:val="32"/>
          <w:highlight w:val="none"/>
          <w:lang w:val="en-US" w:eastAsia="zh-CN"/>
        </w:rPr>
        <w:t>41.84</w:t>
      </w:r>
      <w:r>
        <w:rPr>
          <w:rFonts w:hint="default" w:ascii="Times New Roman" w:hAnsi="Times New Roman" w:eastAsia="仿宋_GB2312" w:cs="Times New Roman"/>
          <w:color w:val="auto"/>
          <w:kern w:val="0"/>
          <w:sz w:val="32"/>
          <w:szCs w:val="32"/>
          <w:highlight w:val="none"/>
          <w:lang w:val="en-US" w:eastAsia="zh-CN"/>
        </w:rPr>
        <w:t>%,其中：因公出国（境）费增加0万元，增长0%,主要原因是</w:t>
      </w:r>
      <w:r>
        <w:rPr>
          <w:rStyle w:val="17"/>
          <w:rFonts w:hint="default" w:ascii="Times New Roman" w:hAnsi="Times New Roman" w:eastAsia="仿宋_GB2312" w:cs="Times New Roman"/>
          <w:color w:val="auto"/>
          <w:szCs w:val="22"/>
          <w:lang w:val="en-US" w:eastAsia="zh-CN"/>
        </w:rPr>
        <w:t>未安排因公出国（境）经费预算；</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公务用车购置费增加0万元，增长0%,主要原因是未安排车辆购置预算；公务用车运行费减少15.9万元，下降</w:t>
      </w:r>
      <w:r>
        <w:rPr>
          <w:rFonts w:hint="eastAsia" w:eastAsia="仿宋_GB2312" w:cs="Times New Roman"/>
          <w:color w:val="auto"/>
          <w:kern w:val="0"/>
          <w:sz w:val="32"/>
          <w:szCs w:val="32"/>
          <w:highlight w:val="none"/>
          <w:lang w:val="en-US" w:eastAsia="zh-CN"/>
        </w:rPr>
        <w:t>41.84</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本年度车辆减少，运行经费减少</w:t>
      </w:r>
      <w:r>
        <w:rPr>
          <w:rStyle w:val="17"/>
          <w:rFonts w:hint="default" w:ascii="Times New Roman" w:hAnsi="Times New Roman" w:eastAsia="仿宋_GB2312" w:cs="Times New Roman"/>
          <w:color w:val="auto"/>
          <w:szCs w:val="22"/>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公务接待费增加0万元，增长0%,主要原因是上年数据无变动。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w:t>
      </w:r>
      <w:r>
        <w:rPr>
          <w:rFonts w:hint="eastAsia" w:ascii="楷体_GB2312" w:hAnsi="楷体_GB2312" w:eastAsia="楷体_GB2312" w:cs="楷体_GB2312"/>
          <w:b/>
          <w:bCs/>
          <w:color w:val="auto"/>
          <w:kern w:val="0"/>
          <w:sz w:val="32"/>
          <w:szCs w:val="32"/>
          <w:highlight w:val="none"/>
          <w:lang w:eastAsia="zh-CN"/>
        </w:rPr>
        <w:t>焉耆县政府办公室</w:t>
      </w:r>
      <w:r>
        <w:rPr>
          <w:rFonts w:hint="eastAsia" w:ascii="楷体_GB2312" w:hAnsi="楷体_GB2312" w:eastAsia="楷体_GB2312" w:cs="楷体_GB2312"/>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rPr>
        <w:t>年</w:t>
      </w:r>
      <w:r>
        <w:rPr>
          <w:rFonts w:hint="eastAsia" w:ascii="楷体_GB2312" w:hAnsi="楷体_GB2312" w:eastAsia="楷体_GB2312" w:cs="楷体_GB2312"/>
          <w:b/>
          <w:bCs/>
          <w:color w:val="auto"/>
          <w:kern w:val="0"/>
          <w:sz w:val="32"/>
          <w:szCs w:val="32"/>
          <w:highlight w:val="none"/>
          <w:lang w:val="en-US" w:eastAsia="zh-CN"/>
        </w:rPr>
        <w:t>上年结转结余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Style w:val="17"/>
          <w:rFonts w:hint="default" w:ascii="Times New Roman" w:hAnsi="Times New Roman" w:eastAsia="仿宋_GB2312" w:cs="Times New Roman"/>
          <w:color w:val="auto"/>
          <w:szCs w:val="22"/>
          <w:lang w:val="en-US" w:eastAsia="zh-CN"/>
        </w:rPr>
        <w:t>焉耆县政府办公室2025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焉耆回族自治县人民政府办公室2025年的机关运行经费财政拨款预算162.52万元，比上年预算降低24.68万元，下降13.18%。主要原因是</w:t>
      </w:r>
      <w:r>
        <w:rPr>
          <w:rStyle w:val="17"/>
          <w:rFonts w:hint="default" w:ascii="Times New Roman" w:hAnsi="Times New Roman" w:eastAsia="仿宋_GB2312" w:cs="Times New Roman"/>
          <w:color w:val="auto"/>
          <w:szCs w:val="22"/>
          <w:lang w:val="en-US" w:eastAsia="zh-CN"/>
        </w:rPr>
        <w:t>严格按照八项规定，厉行节约，压缩开支。</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2025年，焉耆回族自治县人民政府办公室政府采购预算54万元，其中：政府采购货物预算30万元，政府采购工程预算15万元，政府采购服务预算9万元。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2025年，焉耆回族自治县人民政府办公室面向中小企业预留政府采购项目预算金额54万元，小微企业预留政府采购项目预算金额54万元。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截至2024年底，焉耆回族自治县人民政府办公室及下属各预算单位占用使用国有资产总体情况为：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房屋12416.58平方米，价值1745.38万元。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车辆9辆，价值284.21万元。其中：一般公务用车9辆，价值284.21万元，执法执勤用车0辆，价值0万元，其他用车0辆，价值0万元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办公家具价值457.54万元。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eastAsia" w:eastAsia="仿宋_GB2312" w:cs="Times New Roman"/>
          <w:color w:val="auto"/>
          <w:kern w:val="0"/>
          <w:sz w:val="32"/>
          <w:szCs w:val="32"/>
          <w:highlight w:val="none"/>
          <w:lang w:eastAsia="zh-CN"/>
        </w:rPr>
        <w:t>单位</w:t>
      </w:r>
      <w:r>
        <w:rPr>
          <w:rFonts w:hint="default" w:ascii="Times New Roman" w:hAnsi="Times New Roman" w:eastAsia="仿宋_GB2312" w:cs="Times New Roman"/>
          <w:color w:val="auto"/>
          <w:kern w:val="0"/>
          <w:sz w:val="32"/>
          <w:szCs w:val="32"/>
          <w:highlight w:val="none"/>
        </w:rPr>
        <w:t>价值50万元以上大型设备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台，</w:t>
      </w:r>
      <w:r>
        <w:rPr>
          <w:rFonts w:hint="eastAsia" w:eastAsia="仿宋_GB2312" w:cs="Times New Roman"/>
          <w:color w:val="auto"/>
          <w:kern w:val="0"/>
          <w:sz w:val="32"/>
          <w:szCs w:val="32"/>
          <w:highlight w:val="none"/>
          <w:lang w:eastAsia="zh-CN"/>
        </w:rPr>
        <w:t>单位</w:t>
      </w:r>
      <w:r>
        <w:rPr>
          <w:rFonts w:hint="default" w:ascii="Times New Roman" w:hAnsi="Times New Roman" w:eastAsia="仿宋_GB2312" w:cs="Times New Roman"/>
          <w:color w:val="auto"/>
          <w:kern w:val="0"/>
          <w:sz w:val="32"/>
          <w:szCs w:val="32"/>
          <w:highlight w:val="none"/>
        </w:rPr>
        <w:t>价值100万元以上大型设备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年预算未安排购置车辆经费，安排购置50万元以上大型设备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台，单位价值100万元以上大型设备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b/>
          <w:kern w:val="0"/>
          <w:sz w:val="32"/>
          <w:szCs w:val="32"/>
          <w:highlight w:val="none"/>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整体预算绩效目标1个，涉及预算金额767.34万元；当年预算安排项目共0个，其中: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仿宋_GB2312" w:cs="Times New Roman"/>
          <w:b/>
          <w:kern w:val="0"/>
          <w:sz w:val="32"/>
          <w:szCs w:val="32"/>
          <w:highlight w:val="none"/>
        </w:rPr>
      </w:pPr>
    </w:p>
    <w:tbl>
      <w:tblPr>
        <w:tblStyle w:val="11"/>
        <w:tblpPr w:leftFromText="180" w:rightFromText="180" w:vertAnchor="text" w:horzAnchor="page" w:tblpX="1210" w:tblpY="-1043"/>
        <w:tblOverlap w:val="never"/>
        <w:tblW w:w="9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5"/>
        <w:gridCol w:w="1407"/>
        <w:gridCol w:w="1705"/>
        <w:gridCol w:w="1310"/>
        <w:gridCol w:w="2176"/>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trPr>
        <w:tc>
          <w:tcPr>
            <w:tcW w:w="962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962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7058"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1600" w:firstLineChars="800"/>
              <w:jc w:val="left"/>
              <w:rPr>
                <w:rFonts w:hint="eastAsia" w:ascii="宋体" w:hAnsi="宋体" w:eastAsia="宋体" w:cs="宋体"/>
                <w:i w:val="0"/>
                <w:iCs w:val="0"/>
                <w:color w:val="000000"/>
                <w:sz w:val="20"/>
                <w:szCs w:val="20"/>
                <w:highlight w:val="none"/>
                <w:u w:val="none"/>
              </w:rPr>
            </w:pPr>
            <w:r>
              <w:rPr>
                <w:rFonts w:hint="default" w:ascii="Times New Roman" w:hAnsi="Times New Roman" w:cs="Times New Roman"/>
                <w:i w:val="0"/>
                <w:iCs w:val="0"/>
                <w:color w:val="000000"/>
                <w:sz w:val="20"/>
                <w:szCs w:val="20"/>
                <w:u w:val="none"/>
                <w:lang w:eastAsia="zh-CN"/>
              </w:rPr>
              <w:t>焉耆</w:t>
            </w:r>
            <w:r>
              <w:rPr>
                <w:rFonts w:hint="eastAsia" w:cs="Times New Roman"/>
                <w:i w:val="0"/>
                <w:iCs w:val="0"/>
                <w:color w:val="000000"/>
                <w:sz w:val="20"/>
                <w:szCs w:val="20"/>
                <w:u w:val="none"/>
                <w:lang w:eastAsia="zh-CN"/>
              </w:rPr>
              <w:t>回族自治</w:t>
            </w:r>
            <w:r>
              <w:rPr>
                <w:rFonts w:hint="default" w:ascii="Times New Roman" w:hAnsi="Times New Roman" w:cs="Times New Roman"/>
                <w:i w:val="0"/>
                <w:iCs w:val="0"/>
                <w:color w:val="000000"/>
                <w:sz w:val="20"/>
                <w:szCs w:val="20"/>
                <w:u w:val="none"/>
                <w:lang w:eastAsia="zh-CN"/>
              </w:rPr>
              <w:t>县</w:t>
            </w:r>
            <w:r>
              <w:rPr>
                <w:rFonts w:hint="eastAsia" w:cs="Times New Roman"/>
                <w:i w:val="0"/>
                <w:iCs w:val="0"/>
                <w:color w:val="000000"/>
                <w:sz w:val="20"/>
                <w:szCs w:val="20"/>
                <w:u w:val="none"/>
                <w:lang w:eastAsia="zh-CN"/>
              </w:rPr>
              <w:t>人民</w:t>
            </w:r>
            <w:bookmarkStart w:id="0" w:name="_GoBack"/>
            <w:bookmarkEnd w:id="0"/>
            <w:r>
              <w:rPr>
                <w:rFonts w:hint="default" w:ascii="Times New Roman" w:hAnsi="Times New Roman" w:cs="Times New Roman"/>
                <w:i w:val="0"/>
                <w:iCs w:val="0"/>
                <w:color w:val="000000"/>
                <w:sz w:val="20"/>
                <w:szCs w:val="20"/>
                <w:u w:val="none"/>
                <w:lang w:eastAsia="zh-CN"/>
              </w:rPr>
              <w:t>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2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3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cs="Times New Roman"/>
                <w:i w:val="0"/>
                <w:iCs w:val="0"/>
                <w:color w:val="000000"/>
                <w:sz w:val="20"/>
                <w:szCs w:val="20"/>
                <w:u w:val="none"/>
                <w:lang w:eastAsia="zh-CN"/>
              </w:rPr>
              <w:t>吴志荣</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highlight w:val="none"/>
                <w:u w:val="none"/>
              </w:rPr>
            </w:pPr>
            <w:r>
              <w:rPr>
                <w:rFonts w:hint="default" w:ascii="Times New Roman" w:hAnsi="Times New Roman" w:cs="Times New Roman"/>
                <w:i w:val="0"/>
                <w:iCs w:val="0"/>
                <w:color w:val="000000"/>
                <w:sz w:val="20"/>
                <w:szCs w:val="20"/>
                <w:u w:val="none"/>
                <w:lang w:val="en-US" w:eastAsia="zh-CN"/>
              </w:rPr>
              <w:t>0996-6022780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2" w:hRule="atLeast"/>
        </w:trPr>
        <w:tc>
          <w:tcPr>
            <w:tcW w:w="2562"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705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贯彻落实党的基本理论、基本路线、基本方略和县党委、政府的决定,发挥参谋助手、督促检查、跟踪调研作用,履行“办文、办会、办事”职能,主动、优质、高效做好为领导服务、为部门服务、为基层和群众服务工作。坚持依法行政,严格规章制度和办事程序,实行科学民主决策,指导监督县政务公开及政府信息公开工作，负责全县信访宣传工作，确保办公室工作优质高效有序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56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3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56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56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1400" w:firstLineChars="70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767.34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256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404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15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数量指标</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保障自治县政府中心正常运转</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=100%</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政策文件</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480" w:firstLineChars="200"/>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cs="Times New Roman"/>
                <w:i w:val="0"/>
                <w:iCs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1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数量指标</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筹备组织政府各类会议</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&gt;=4次</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政策文件</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480" w:firstLineChars="200"/>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cs="Times New Roman"/>
                <w:i w:val="0"/>
                <w:iCs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15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cs="Times New Roman"/>
                <w:i w:val="0"/>
                <w:iCs w:val="0"/>
                <w:color w:val="000000"/>
                <w:sz w:val="20"/>
                <w:szCs w:val="20"/>
                <w:u w:val="none"/>
                <w:lang w:eastAsia="zh-CN"/>
              </w:rPr>
              <w:t>数量指标</w:t>
            </w:r>
          </w:p>
        </w:tc>
        <w:tc>
          <w:tcPr>
            <w:tcW w:w="1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政务信息公开率</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 xml:space="preserve"> =100%</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ind w:firstLine="600" w:firstLineChars="300"/>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sz w:val="20"/>
                <w:szCs w:val="20"/>
                <w:u w:val="none"/>
              </w:rPr>
              <w:t>政策文件</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cs="Times New Roman"/>
                <w:i w:val="0"/>
                <w:iCs w:val="0"/>
                <w:color w:val="000000"/>
                <w:sz w:val="24"/>
                <w:szCs w:val="24"/>
                <w:u w:val="none"/>
                <w:lang w:val="en-US" w:eastAsia="zh-CN"/>
              </w:rPr>
              <w:t xml:space="preserve">    30</w:t>
            </w:r>
          </w:p>
        </w:tc>
      </w:tr>
    </w:tbl>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0" w:firstLineChars="1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焉耆回族自治县人民政府办公室</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月 </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_x0000_s002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0"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XW5UtAAAAAFAQAADwAA&#10;AAAAAAABACAAAAAiAAAAZHJzL2Rvd25yZXYueG1sUEsBAhQAFAAAAAgAh07iQGlGRSjlAQAA9QMA&#10;AA4AAAAAAAAAAQAgAAAAHwEAAGRycy9lMm9Eb2MueG1sUEsFBgAAAAAGAAYAWQEAAHYFA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_x0000_s00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GMcfoAQAA9Q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OwlCIozx1/Gkr+PVFZrpbZoD5SxXWP8YDz&#10;jjjMaocWff5nHWIYTb0+m2qGJDQnl+vVel2y35rPbhvGKV4+j0jpqwEvclBL5K6NZqrLPaWp9FaS&#10;bwuwt85xXlUuvEowZs4UmfHEMUdpOA4z8SM0V9aLMA0CRb23fOe9onRQyJ1nnvw20gMvrYO+ljBH&#10;UnSAv/6Vz/XcED6VoudJqmXghyOF+xa4UXnobgHeguMtUEHzh7VMUpwj2lM38sqaKH45JxY66s8q&#10;JuqzOJ6G0cF5cvO4/bkfq15e6/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AuGMcfoAQAA&#10;9QMAAA4AAAAAAAAAAQAgAAAAHwEAAGRycy9lMm9Eb2MueG1sUEsFBgAAAAAGAAYAWQEAAHkFAAAA&#10;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3431A"/>
    <w:multiLevelType w:val="singleLevel"/>
    <w:tmpl w:val="5193431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36166FD"/>
    <w:rsid w:val="04D1368E"/>
    <w:rsid w:val="05EE44FA"/>
    <w:rsid w:val="06443288"/>
    <w:rsid w:val="06C61F90"/>
    <w:rsid w:val="06E800A0"/>
    <w:rsid w:val="0A0C032D"/>
    <w:rsid w:val="0B195A81"/>
    <w:rsid w:val="0BD40279"/>
    <w:rsid w:val="0C0F3BD2"/>
    <w:rsid w:val="0C7000FA"/>
    <w:rsid w:val="0CF240A8"/>
    <w:rsid w:val="10D66D02"/>
    <w:rsid w:val="11086580"/>
    <w:rsid w:val="12111DDE"/>
    <w:rsid w:val="12961A47"/>
    <w:rsid w:val="12B652CF"/>
    <w:rsid w:val="13BA021C"/>
    <w:rsid w:val="14A304A3"/>
    <w:rsid w:val="157E3098"/>
    <w:rsid w:val="16E26AF0"/>
    <w:rsid w:val="172F0EB3"/>
    <w:rsid w:val="174B09E9"/>
    <w:rsid w:val="176E2D8F"/>
    <w:rsid w:val="18176755"/>
    <w:rsid w:val="18C251E2"/>
    <w:rsid w:val="18CB1E30"/>
    <w:rsid w:val="190A7E66"/>
    <w:rsid w:val="19815AB5"/>
    <w:rsid w:val="198C214F"/>
    <w:rsid w:val="1AFA722B"/>
    <w:rsid w:val="1B8E3550"/>
    <w:rsid w:val="1CF049BA"/>
    <w:rsid w:val="1E7A3462"/>
    <w:rsid w:val="1E7F048C"/>
    <w:rsid w:val="1E9A1723"/>
    <w:rsid w:val="1F5E1B22"/>
    <w:rsid w:val="205818AB"/>
    <w:rsid w:val="20624C4B"/>
    <w:rsid w:val="20877A6E"/>
    <w:rsid w:val="22016DB2"/>
    <w:rsid w:val="222B258B"/>
    <w:rsid w:val="22635BDD"/>
    <w:rsid w:val="22992C3F"/>
    <w:rsid w:val="23F61CC8"/>
    <w:rsid w:val="24C766B9"/>
    <w:rsid w:val="25C54B0D"/>
    <w:rsid w:val="278A31C6"/>
    <w:rsid w:val="287D3B85"/>
    <w:rsid w:val="28985F06"/>
    <w:rsid w:val="28DC16A8"/>
    <w:rsid w:val="28E4071B"/>
    <w:rsid w:val="28E9505A"/>
    <w:rsid w:val="297F2A45"/>
    <w:rsid w:val="29E30DC6"/>
    <w:rsid w:val="29F33326"/>
    <w:rsid w:val="2A373717"/>
    <w:rsid w:val="2C644DC6"/>
    <w:rsid w:val="2D5A56CE"/>
    <w:rsid w:val="2DEA78A2"/>
    <w:rsid w:val="2E1946E9"/>
    <w:rsid w:val="2E7142DF"/>
    <w:rsid w:val="2EC04CA6"/>
    <w:rsid w:val="3035398C"/>
    <w:rsid w:val="34051295"/>
    <w:rsid w:val="34ED3061"/>
    <w:rsid w:val="358B0420"/>
    <w:rsid w:val="36843139"/>
    <w:rsid w:val="37772BC7"/>
    <w:rsid w:val="38D1062E"/>
    <w:rsid w:val="3BFB40E6"/>
    <w:rsid w:val="3DBD78CB"/>
    <w:rsid w:val="3DEC16B2"/>
    <w:rsid w:val="3E407417"/>
    <w:rsid w:val="3E6866DB"/>
    <w:rsid w:val="3EA7201E"/>
    <w:rsid w:val="3FF64112"/>
    <w:rsid w:val="42664739"/>
    <w:rsid w:val="42BC354E"/>
    <w:rsid w:val="43F22C9F"/>
    <w:rsid w:val="46F87559"/>
    <w:rsid w:val="487333B1"/>
    <w:rsid w:val="49376CC8"/>
    <w:rsid w:val="4CED1073"/>
    <w:rsid w:val="4D310DFE"/>
    <w:rsid w:val="4D6148D6"/>
    <w:rsid w:val="4D917663"/>
    <w:rsid w:val="4DA038E7"/>
    <w:rsid w:val="4DAE1DE2"/>
    <w:rsid w:val="4E550A30"/>
    <w:rsid w:val="4E5F6577"/>
    <w:rsid w:val="4F271385"/>
    <w:rsid w:val="50A11EAC"/>
    <w:rsid w:val="52B067FB"/>
    <w:rsid w:val="53121B6B"/>
    <w:rsid w:val="5334320A"/>
    <w:rsid w:val="54492C6F"/>
    <w:rsid w:val="548237DF"/>
    <w:rsid w:val="54D91216"/>
    <w:rsid w:val="558E62D7"/>
    <w:rsid w:val="55B724C1"/>
    <w:rsid w:val="563D0558"/>
    <w:rsid w:val="572A62E6"/>
    <w:rsid w:val="57940A7D"/>
    <w:rsid w:val="585B75B2"/>
    <w:rsid w:val="58610DAB"/>
    <w:rsid w:val="59A52816"/>
    <w:rsid w:val="5A6574B1"/>
    <w:rsid w:val="5BFB227D"/>
    <w:rsid w:val="5C170A80"/>
    <w:rsid w:val="5C5E4075"/>
    <w:rsid w:val="5D9D1BD5"/>
    <w:rsid w:val="5E5D0B24"/>
    <w:rsid w:val="5F0C2ED0"/>
    <w:rsid w:val="5F5455C1"/>
    <w:rsid w:val="60F64D4E"/>
    <w:rsid w:val="60FE35A6"/>
    <w:rsid w:val="619E6880"/>
    <w:rsid w:val="61D0022B"/>
    <w:rsid w:val="61FB25C4"/>
    <w:rsid w:val="62140FE6"/>
    <w:rsid w:val="62B97972"/>
    <w:rsid w:val="63EF0A5F"/>
    <w:rsid w:val="64BA74CD"/>
    <w:rsid w:val="65B41092"/>
    <w:rsid w:val="65BC6A5E"/>
    <w:rsid w:val="670945CE"/>
    <w:rsid w:val="67BC5AC9"/>
    <w:rsid w:val="680F0190"/>
    <w:rsid w:val="6817148A"/>
    <w:rsid w:val="690C5A2D"/>
    <w:rsid w:val="69266A37"/>
    <w:rsid w:val="6A642648"/>
    <w:rsid w:val="6B381347"/>
    <w:rsid w:val="6CDD1E9C"/>
    <w:rsid w:val="6D2672E2"/>
    <w:rsid w:val="6EEF047C"/>
    <w:rsid w:val="6F6E78D0"/>
    <w:rsid w:val="713F42C0"/>
    <w:rsid w:val="72485DFE"/>
    <w:rsid w:val="726100EF"/>
    <w:rsid w:val="72C37011"/>
    <w:rsid w:val="73FB3316"/>
    <w:rsid w:val="74233443"/>
    <w:rsid w:val="7493650A"/>
    <w:rsid w:val="74E254F0"/>
    <w:rsid w:val="750B32E3"/>
    <w:rsid w:val="752E01C6"/>
    <w:rsid w:val="75DF7986"/>
    <w:rsid w:val="792E1EF2"/>
    <w:rsid w:val="7E0568C4"/>
    <w:rsid w:val="7E6D1CB6"/>
    <w:rsid w:val="7FE2368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character" w:customStyle="1" w:styleId="17">
    <w:name w:val="预算公开正文内容"/>
    <w:basedOn w:val="13"/>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2803</Words>
  <Characters>3064</Characters>
  <Lines>0</Lines>
  <Paragraphs>0</Paragraphs>
  <TotalTime>4</TotalTime>
  <ScaleCrop>false</ScaleCrop>
  <LinksUpToDate>false</LinksUpToDate>
  <CharactersWithSpaces>3337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2025-04-24T12:52:44Z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C5F587D6FC3845C6957F3D25FEA10E2A_12</vt:lpwstr>
  </property>
  <property fmtid="{D5CDD505-2E9C-101B-9397-08002B2CF9AE}" pid="4" name="KSOTemplateDocerSaveRecord">
    <vt:lpwstr>eyJoZGlkIjoiZTkxMzg4MTAyNzIyODNhYjQwY2I2ZTk3YjI3OTU1MTkifQ==</vt:lpwstr>
  </property>
</Properties>
</file>