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焉耆回族自治县人民代表大会常务委员会</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一、关于焉耆回族自治县人民代表大会常务委员会2025年收支预算情况的总体说明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二、关于焉耆回族自治县人民代表大会常务委员会2025年收入预算情况说明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三、关于焉耆回族自治县人民代表大会常务委员会2025年支出预算情况说明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四、关于焉耆回族自治县人民代表大会常务委员会2025年财政拨款收支预算情况的总体说明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五、关于焉耆回族自治县人民代表大会常务委员会2025年一般公共预算当年拨款情况说明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六、关于焉耆回族自治县人民代表大会常务委员会2025年一般公共预算基本支出情况说明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七、关于焉耆回族自治县人民代表大会常务委员会2025年一般公共预算项目支出情况说明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八、关于焉耆回族自治县人民代表大会常务委员会2025年政府性基金预算拨款情况说明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九、关于焉耆回族自治县人民代表大会常务委员会2025年国有资本经营预算拨款情况说明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十、关于焉耆回族自治县人民代表大会常务委员会2025年财政拨款“三公”经费预算情况说明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十一、关于焉耆回族自治县人民代表大会常务委员会2025年上年结转结余预算情况说明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1.在本行政区域内，保证宪法、法律、行政法规和上级人民代表大会及其常务委员会决议的遵守和执行。</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2.领导或者主持本级人民代表大会代表的选举。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3.召集本级人民代表大会会议。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4.讨论、决定本行政区域内的政治、经济、教育、科学、文化、卫生、环境和资源保护、民政、民族等工作的重大事项。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5.根据本级人民政府的建议，决定对本行政区域内的国民经济和社会发展计划、预算的部分变更。</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6.监督本级人民政府、人民法院和人民检察院的工作，联系本级人民代表大会代表，受理人民群众对上述机关和国家工作人员的申诉和意见。</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7.撤销下一级人民代表大会的不适当的决议。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8.撤销本级人民政府的不适当的决定和命令。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在本级人民代表大会闭会期间，决定副县长的个别任免；在县长和人民法院院长、人民检察院检察长因故不能担任职务的时候，从本级人民政府、人民法院、人民检察院副职领导人员中决定代理的人选；决定代理检察长，须报上一级人民检察院和人民代表大会常务委员会备案。</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10.根据县长的提名，决定本级人民政府局长、委员会主任的任免，报上一级人民政府备案。</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11.按照人民法院组织法和人民检察院组织法的规定，任免人民法院副院长、庭长、副庭长、审判委员会委员、审判员，任免人民检察院副检察长、检察委员会委员、检察员，批准任免下一级人民检察院检察长；人民代表大会常务委员会根据主任会议的提名，决定人民法院院长的任免，根据人民检察院检察长的提名，决定人民检察院分院检察长的任免。</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12.在本级人民代表大会闭会期间，决定撤销个别副县长的职务；决定撤销由它任命的本级人民政府其他组成人员和人民法院副院长、庭长、副庭长、审判委员会委员、审判员，人民检察院副检察长、检察委员会委员、检察员的职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13.在本级人民代表大会闭会期间，补选上一级人民代表大会出缺的代表和罢免个别代表。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14.决定授予地方的荣誉称号。</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焉耆回族自治县人民代表大会常务委员会无下属预算单位，下设5个处室，分别是：代表人事工委、法工委、教科文卫工委、财经工委、人大常委会办公室。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焉耆回族自治县人民代表大会常务委员会编制数12，实有人数78人，其中：在职22人，增加1人；退休56人，增加2人；离休0人，减少1人。</w:t>
      </w:r>
    </w:p>
    <w:p>
      <w:pPr>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编制单位：焉耆回族自治县人民代表大会常务委员会             单位：万元</w:t>
      </w:r>
    </w:p>
    <w:tbl>
      <w:tblPr>
        <w:tblStyle w:val="9"/>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2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545.28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408.3</w:t>
            </w:r>
            <w:r>
              <w:rPr>
                <w:rFonts w:hint="eastAsia" w:ascii="Times New Roman" w:hAnsi="Times New Roman" w:eastAsia="仿宋_GB2312" w:cs="Times New Roman"/>
                <w:color w:val="auto"/>
                <w:kern w:val="0"/>
                <w:sz w:val="20"/>
                <w:szCs w:val="20"/>
                <w:highlight w:val="none"/>
                <w:lang w:val="en-US" w:eastAsia="zh-CN"/>
              </w:rPr>
              <w:t>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545.28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529.98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15.30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79.4</w:t>
            </w:r>
            <w:r>
              <w:rPr>
                <w:rFonts w:hint="eastAsia" w:ascii="Times New Roman" w:hAnsi="Times New Roman" w:eastAsia="仿宋_GB2312" w:cs="Times New Roman"/>
                <w:color w:val="auto"/>
                <w:kern w:val="0"/>
                <w:sz w:val="20"/>
                <w:szCs w:val="20"/>
                <w:highlight w:val="none"/>
                <w:lang w:val="en-US" w:eastAsia="zh-CN"/>
              </w:rPr>
              <w:t>0</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26.16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31.42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545.28</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545.28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编制单位：焉耆回族自治县人民代表大会常务委员会       </w:t>
      </w:r>
      <w:r>
        <w:rPr>
          <w:rFonts w:hint="eastAsia"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9"/>
        <w:tblW w:w="10344" w:type="dxa"/>
        <w:tblInd w:w="-617" w:type="dxa"/>
        <w:tblLayout w:type="fixed"/>
        <w:tblCellMar>
          <w:top w:w="0" w:type="dxa"/>
          <w:left w:w="108" w:type="dxa"/>
          <w:bottom w:w="0" w:type="dxa"/>
          <w:right w:w="108" w:type="dxa"/>
        </w:tblCellMar>
      </w:tblPr>
      <w:tblGrid>
        <w:gridCol w:w="588"/>
        <w:gridCol w:w="432"/>
        <w:gridCol w:w="420"/>
        <w:gridCol w:w="1632"/>
        <w:gridCol w:w="898"/>
        <w:gridCol w:w="828"/>
        <w:gridCol w:w="852"/>
        <w:gridCol w:w="684"/>
        <w:gridCol w:w="501"/>
        <w:gridCol w:w="701"/>
        <w:gridCol w:w="444"/>
        <w:gridCol w:w="672"/>
        <w:gridCol w:w="420"/>
        <w:gridCol w:w="360"/>
        <w:gridCol w:w="408"/>
        <w:gridCol w:w="504"/>
      </w:tblGrid>
      <w:tr>
        <w:tblPrEx>
          <w:tblCellMar>
            <w:top w:w="0" w:type="dxa"/>
            <w:left w:w="108" w:type="dxa"/>
            <w:bottom w:w="0" w:type="dxa"/>
            <w:right w:w="108" w:type="dxa"/>
          </w:tblCellMar>
        </w:tblPrEx>
        <w:trPr>
          <w:trHeight w:val="90" w:hRule="atLeast"/>
        </w:trPr>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63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9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68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0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50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90" w:hRule="atLeast"/>
        </w:trPr>
        <w:tc>
          <w:tcPr>
            <w:tcW w:w="588"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32"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2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63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9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2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5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8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50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70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4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7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0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0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sz w:val="20"/>
                <w:szCs w:val="20"/>
                <w:highlight w:val="none"/>
              </w:rPr>
            </w:pPr>
          </w:p>
        </w:tc>
        <w:tc>
          <w:tcPr>
            <w:tcW w:w="1632"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一般公共服务支出</w:t>
            </w:r>
          </w:p>
        </w:tc>
        <w:tc>
          <w:tcPr>
            <w:tcW w:w="898"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408.30</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408.30</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393.00</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15.30</w:t>
            </w:r>
          </w:p>
        </w:tc>
        <w:tc>
          <w:tcPr>
            <w:tcW w:w="50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537"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人大事务　</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408.30</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408.30</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393.00</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15.30</w:t>
            </w: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行政运行</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393.00</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393.00</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393.00</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0.00</w:t>
            </w: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一般行政管理事务　</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7.30</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7.30</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7.30</w:t>
            </w: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其他人大事务支出　</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8.00</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8.00</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8.00</w:t>
            </w: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社会保障和就业支出　</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79.40</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79.40</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79.40</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行政事业单位养老支出　</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79.40</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79.40</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79.40</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行政单位离退休</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16.09</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16.09</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16.09</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机关事业单位基本养老保险缴费支出　</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42.53</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42.53</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42.53</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机关事业单位职业年金缴费支出</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20.78</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20.78</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20.78</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卫生健康支出</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26.16</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26.16</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26.16</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行政事业单位医疗</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26.16</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26.16</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26.16</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行政单位医疗</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18.7</w:t>
            </w:r>
            <w:r>
              <w:rPr>
                <w:rFonts w:hint="eastAsia" w:ascii="Times New Roman" w:hAnsi="Times New Roman" w:eastAsia="仿宋_GB2312" w:cs="Times New Roman"/>
                <w:color w:val="auto"/>
                <w:sz w:val="20"/>
                <w:szCs w:val="20"/>
                <w:highlight w:val="none"/>
                <w:lang w:val="en-US" w:eastAsia="zh-CN"/>
              </w:rPr>
              <w:t>2</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18.7</w:t>
            </w:r>
            <w:r>
              <w:rPr>
                <w:rFonts w:hint="eastAsia" w:ascii="Times New Roman" w:hAnsi="Times New Roman" w:eastAsia="仿宋_GB2312" w:cs="Times New Roman"/>
                <w:color w:val="auto"/>
                <w:sz w:val="20"/>
                <w:szCs w:val="20"/>
                <w:highlight w:val="none"/>
                <w:lang w:val="en-US" w:eastAsia="zh-CN"/>
              </w:rPr>
              <w:t>2</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18.7</w:t>
            </w:r>
            <w:r>
              <w:rPr>
                <w:rFonts w:hint="eastAsia" w:ascii="Times New Roman" w:hAnsi="Times New Roman" w:eastAsia="仿宋_GB2312" w:cs="Times New Roman"/>
                <w:color w:val="auto"/>
                <w:sz w:val="20"/>
                <w:szCs w:val="20"/>
                <w:highlight w:val="none"/>
                <w:lang w:val="en-US" w:eastAsia="zh-CN"/>
              </w:rPr>
              <w:t>2</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公务员医疗补助</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7.44</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7.44</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7.44</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住房保障支出</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31.42</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31.42</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31.42</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住房改革支出</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31.42</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31.42</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31.42</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住房公积金　</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31.42</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31.42</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31.42</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5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微软雅黑" w:cs="Times New Roman"/>
                <w:color w:val="auto"/>
                <w:sz w:val="20"/>
                <w:szCs w:val="20"/>
                <w:highlight w:val="none"/>
              </w:rPr>
            </w:pPr>
            <w:r>
              <w:rPr>
                <w:rFonts w:hint="default" w:ascii="Times New Roman" w:hAnsi="Times New Roman" w:eastAsia="微软雅黑"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微软雅黑" w:cs="Times New Roman"/>
                <w:color w:val="auto"/>
                <w:sz w:val="20"/>
                <w:szCs w:val="20"/>
                <w:highlight w:val="none"/>
              </w:rPr>
            </w:pPr>
            <w:r>
              <w:rPr>
                <w:rFonts w:hint="default" w:ascii="Times New Roman" w:hAnsi="Times New Roman" w:eastAsia="微软雅黑"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微软雅黑" w:cs="Times New Roman"/>
                <w:color w:val="auto"/>
                <w:sz w:val="20"/>
                <w:szCs w:val="20"/>
                <w:highlight w:val="none"/>
              </w:rPr>
            </w:pPr>
            <w:r>
              <w:rPr>
                <w:rFonts w:hint="default" w:ascii="Times New Roman" w:hAnsi="Times New Roman" w:eastAsia="微软雅黑" w:cs="Times New Roman"/>
                <w:color w:val="auto"/>
                <w:sz w:val="20"/>
                <w:szCs w:val="20"/>
                <w:highlight w:val="none"/>
              </w:rPr>
              <w:t>　</w:t>
            </w:r>
          </w:p>
        </w:tc>
        <w:tc>
          <w:tcPr>
            <w:tcW w:w="16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545.28</w:t>
            </w:r>
            <w:r>
              <w:rPr>
                <w:rFonts w:hint="default" w:ascii="Times New Roman" w:hAnsi="Times New Roman" w:eastAsia="仿宋_GB2312" w:cs="Times New Roman"/>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545.28</w:t>
            </w:r>
            <w:r>
              <w:rPr>
                <w:rFonts w:hint="default" w:ascii="Times New Roman" w:hAnsi="Times New Roman" w:eastAsia="仿宋_GB2312" w:cs="Times New Roman"/>
                <w:color w:val="auto"/>
                <w:sz w:val="20"/>
                <w:szCs w:val="20"/>
                <w:highlight w:val="none"/>
              </w:rPr>
              <w:t>　</w:t>
            </w:r>
          </w:p>
        </w:tc>
        <w:tc>
          <w:tcPr>
            <w:tcW w:w="8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529.98</w:t>
            </w: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15.30</w:t>
            </w:r>
          </w:p>
        </w:tc>
        <w:tc>
          <w:tcPr>
            <w:tcW w:w="5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c>
          <w:tcPr>
            <w:tcW w:w="5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5"/>
                <w:szCs w:val="15"/>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编制单位：焉耆回族自治县人民代表大会常务委员会          单位：万元</w:t>
      </w:r>
    </w:p>
    <w:tbl>
      <w:tblPr>
        <w:tblStyle w:val="9"/>
        <w:tblW w:w="9420" w:type="dxa"/>
        <w:tblInd w:w="-240" w:type="dxa"/>
        <w:tblLayout w:type="fixed"/>
        <w:tblCellMar>
          <w:top w:w="0" w:type="dxa"/>
          <w:left w:w="108" w:type="dxa"/>
          <w:bottom w:w="0" w:type="dxa"/>
          <w:right w:w="108" w:type="dxa"/>
        </w:tblCellMar>
      </w:tblPr>
      <w:tblGrid>
        <w:gridCol w:w="526"/>
        <w:gridCol w:w="432"/>
        <w:gridCol w:w="431"/>
        <w:gridCol w:w="2474"/>
        <w:gridCol w:w="1836"/>
        <w:gridCol w:w="1837"/>
        <w:gridCol w:w="1884"/>
      </w:tblGrid>
      <w:tr>
        <w:tblPrEx>
          <w:tblCellMar>
            <w:top w:w="0" w:type="dxa"/>
            <w:left w:w="108" w:type="dxa"/>
            <w:bottom w:w="0" w:type="dxa"/>
            <w:right w:w="108" w:type="dxa"/>
          </w:tblCellMar>
        </w:tblPrEx>
        <w:trPr>
          <w:trHeight w:val="328" w:hRule="atLeast"/>
        </w:trPr>
        <w:tc>
          <w:tcPr>
            <w:tcW w:w="386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57"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8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7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3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8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7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8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一般公共服务支出</w:t>
            </w:r>
            <w:r>
              <w:rPr>
                <w:rFonts w:hint="default" w:ascii="Times New Roman" w:hAnsi="Times New Roman" w:eastAsia="仿宋_GB2312" w:cs="Times New Roman"/>
                <w:color w:val="auto"/>
                <w:sz w:val="20"/>
                <w:szCs w:val="20"/>
                <w:highlight w:val="none"/>
              </w:rPr>
              <w:t>　</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408.3</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393.00</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15.30</w:t>
            </w: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人大事务</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408.30</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393.00</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15.30</w:t>
            </w: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行政运行　</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393.00</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393.00</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201</w:t>
            </w:r>
            <w:r>
              <w:rPr>
                <w:rFonts w:hint="default" w:ascii="Times New Roman" w:hAnsi="Times New Roman" w:eastAsia="仿宋_GB2312" w:cs="Times New Roman"/>
                <w:b w:val="0"/>
                <w:bCs w:val="0"/>
                <w:color w:val="auto"/>
                <w:kern w:val="0"/>
                <w:sz w:val="20"/>
                <w:szCs w:val="20"/>
                <w:highlight w:val="none"/>
              </w:rPr>
              <w:t>　</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r>
              <w:rPr>
                <w:rFonts w:hint="default" w:ascii="Times New Roman" w:hAnsi="Times New Roman" w:eastAsia="仿宋_GB2312" w:cs="Times New Roman"/>
                <w:b w:val="0"/>
                <w:bCs w:val="0"/>
                <w:color w:val="auto"/>
                <w:kern w:val="0"/>
                <w:sz w:val="20"/>
                <w:szCs w:val="20"/>
                <w:highlight w:val="none"/>
              </w:rPr>
              <w:t>　</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一般行政管理事务　</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7.30</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7.30</w:t>
            </w: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201</w:t>
            </w:r>
            <w:r>
              <w:rPr>
                <w:rFonts w:hint="default" w:ascii="Times New Roman" w:hAnsi="Times New Roman" w:eastAsia="仿宋_GB2312" w:cs="Times New Roman"/>
                <w:b w:val="0"/>
                <w:bCs w:val="0"/>
                <w:color w:val="auto"/>
                <w:kern w:val="0"/>
                <w:sz w:val="20"/>
                <w:szCs w:val="20"/>
                <w:highlight w:val="none"/>
              </w:rPr>
              <w:t>　</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r>
              <w:rPr>
                <w:rFonts w:hint="default" w:ascii="Times New Roman" w:hAnsi="Times New Roman" w:eastAsia="仿宋_GB2312" w:cs="Times New Roman"/>
                <w:b w:val="0"/>
                <w:bCs w:val="0"/>
                <w:color w:val="auto"/>
                <w:kern w:val="0"/>
                <w:sz w:val="20"/>
                <w:szCs w:val="20"/>
                <w:highlight w:val="none"/>
              </w:rPr>
              <w:t>　</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99</w:t>
            </w:r>
            <w:r>
              <w:rPr>
                <w:rFonts w:hint="default" w:ascii="Times New Roman" w:hAnsi="Times New Roman" w:eastAsia="仿宋_GB2312" w:cs="Times New Roman"/>
                <w:b w:val="0"/>
                <w:bCs w:val="0"/>
                <w:color w:val="auto"/>
                <w:kern w:val="0"/>
                <w:sz w:val="20"/>
                <w:szCs w:val="20"/>
                <w:highlight w:val="none"/>
              </w:rPr>
              <w:t>　</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其他人大事务支出　</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8.00</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8.00</w:t>
            </w: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r>
              <w:rPr>
                <w:rFonts w:hint="default" w:ascii="Times New Roman" w:hAnsi="Times New Roman" w:eastAsia="仿宋_GB2312" w:cs="Times New Roman"/>
                <w:b w:val="0"/>
                <w:bCs w:val="0"/>
                <w:color w:val="auto"/>
                <w:kern w:val="0"/>
                <w:sz w:val="20"/>
                <w:szCs w:val="20"/>
                <w:highlight w:val="none"/>
                <w:lang w:val="en-US" w:eastAsia="zh-CN"/>
              </w:rPr>
              <w:t>208</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社会保障和就业支出</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79.40</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79.40</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行政事业单位养老支出</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79.40</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79.40</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r>
              <w:rPr>
                <w:rFonts w:hint="default" w:ascii="Times New Roman" w:hAnsi="Times New Roman" w:eastAsia="仿宋_GB2312" w:cs="Times New Roman"/>
                <w:b w:val="0"/>
                <w:bCs w:val="0"/>
                <w:color w:val="auto"/>
                <w:kern w:val="0"/>
                <w:sz w:val="20"/>
                <w:szCs w:val="20"/>
                <w:highlight w:val="none"/>
              </w:rPr>
              <w:t>　</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行政单位离退休</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16.09</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16.09</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机关事业单位基本养老保险缴费支出</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42.53</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42.53</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06</w:t>
            </w:r>
            <w:r>
              <w:rPr>
                <w:rFonts w:hint="default" w:ascii="Times New Roman" w:hAnsi="Times New Roman" w:eastAsia="仿宋_GB2312" w:cs="Times New Roman"/>
                <w:b w:val="0"/>
                <w:bCs w:val="0"/>
                <w:color w:val="auto"/>
                <w:kern w:val="0"/>
                <w:sz w:val="20"/>
                <w:szCs w:val="20"/>
                <w:highlight w:val="none"/>
              </w:rPr>
              <w:t>　</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机关事业单位职业年金缴费支出</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20.78</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20.78</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卫生健康支出</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26.16</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26.16</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行政事业单位医疗</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26.16</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26.16</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行政单位医疗</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18.7</w:t>
            </w:r>
            <w:r>
              <w:rPr>
                <w:rFonts w:hint="eastAsia" w:ascii="Times New Roman" w:hAnsi="Times New Roman" w:eastAsia="仿宋_GB2312" w:cs="Times New Roman"/>
                <w:color w:val="auto"/>
                <w:sz w:val="20"/>
                <w:szCs w:val="20"/>
                <w:highlight w:val="none"/>
                <w:lang w:val="en-US" w:eastAsia="zh-CN"/>
              </w:rPr>
              <w:t>2</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18.7</w:t>
            </w:r>
            <w:r>
              <w:rPr>
                <w:rFonts w:hint="eastAsia" w:ascii="Times New Roman" w:hAnsi="Times New Roman" w:eastAsia="仿宋_GB2312" w:cs="Times New Roman"/>
                <w:color w:val="auto"/>
                <w:sz w:val="20"/>
                <w:szCs w:val="20"/>
                <w:highlight w:val="none"/>
                <w:lang w:val="en-US" w:eastAsia="zh-CN"/>
              </w:rPr>
              <w:t>2</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公务员医疗补助</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7.44</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7.44</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住房保障支出</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31.42</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31.42</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住房改革支出</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31.42</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31.42</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4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住房公积金</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31.42</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31.42</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3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3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4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545.28</w:t>
            </w:r>
          </w:p>
        </w:tc>
        <w:tc>
          <w:tcPr>
            <w:tcW w:w="18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529.98</w:t>
            </w:r>
          </w:p>
        </w:tc>
        <w:tc>
          <w:tcPr>
            <w:tcW w:w="18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15.30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编制单位：焉耆回族自治县人民代表大会常务委员会</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9"/>
        <w:tblW w:w="10373" w:type="dxa"/>
        <w:tblInd w:w="-975" w:type="dxa"/>
        <w:tblLayout w:type="fixed"/>
        <w:tblCellMar>
          <w:top w:w="0" w:type="dxa"/>
          <w:left w:w="108" w:type="dxa"/>
          <w:bottom w:w="0" w:type="dxa"/>
          <w:right w:w="108" w:type="dxa"/>
        </w:tblCellMar>
      </w:tblPr>
      <w:tblGrid>
        <w:gridCol w:w="2306"/>
        <w:gridCol w:w="920"/>
        <w:gridCol w:w="3094"/>
        <w:gridCol w:w="728"/>
        <w:gridCol w:w="1098"/>
        <w:gridCol w:w="1160"/>
        <w:gridCol w:w="1067"/>
      </w:tblGrid>
      <w:tr>
        <w:tblPrEx>
          <w:tblCellMar>
            <w:top w:w="0" w:type="dxa"/>
            <w:left w:w="108" w:type="dxa"/>
            <w:bottom w:w="0" w:type="dxa"/>
            <w:right w:w="108" w:type="dxa"/>
          </w:tblCellMar>
        </w:tblPrEx>
        <w:trPr>
          <w:trHeight w:val="285" w:hRule="atLeast"/>
        </w:trPr>
        <w:tc>
          <w:tcPr>
            <w:tcW w:w="322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7147"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3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30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6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9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545.28</w:t>
            </w: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408.30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408.30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9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545.28</w:t>
            </w: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9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297"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79.40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79.40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26.16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26.16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31.42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31.42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6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3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545.28</w:t>
            </w:r>
            <w:r>
              <w:rPr>
                <w:rFonts w:hint="default" w:ascii="Times New Roman" w:hAnsi="Times New Roman" w:eastAsia="仿宋_GB2312" w:cs="Times New Roman"/>
                <w:b w:val="0"/>
                <w:bCs w:val="0"/>
                <w:color w:val="auto"/>
                <w:kern w:val="0"/>
                <w:sz w:val="20"/>
                <w:szCs w:val="20"/>
                <w:highlight w:val="none"/>
              </w:rPr>
              <w:t>　</w:t>
            </w:r>
          </w:p>
        </w:tc>
        <w:tc>
          <w:tcPr>
            <w:tcW w:w="3094" w:type="dxa"/>
            <w:tcBorders>
              <w:top w:val="nil"/>
              <w:left w:val="nil"/>
              <w:bottom w:val="single" w:color="auto" w:sz="4" w:space="0"/>
              <w:right w:val="single" w:color="auto" w:sz="4" w:space="0"/>
            </w:tcBorders>
            <w:noWrap w:val="0"/>
            <w:vAlign w:val="center"/>
          </w:tcPr>
          <w:p>
            <w:pPr>
              <w:widowControl/>
              <w:spacing w:line="280" w:lineRule="exact"/>
              <w:ind w:firstLine="400" w:firstLineChars="200"/>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7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545.28　</w:t>
            </w: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545.28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6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214" w:type="dxa"/>
        <w:tblInd w:w="-34" w:type="dxa"/>
        <w:tblLayout w:type="fixed"/>
        <w:tblCellMar>
          <w:top w:w="0" w:type="dxa"/>
          <w:left w:w="108" w:type="dxa"/>
          <w:bottom w:w="0" w:type="dxa"/>
          <w:right w:w="108" w:type="dxa"/>
        </w:tblCellMar>
      </w:tblPr>
      <w:tblGrid>
        <w:gridCol w:w="519"/>
        <w:gridCol w:w="499"/>
        <w:gridCol w:w="502"/>
        <w:gridCol w:w="2491"/>
        <w:gridCol w:w="1678"/>
        <w:gridCol w:w="216"/>
        <w:gridCol w:w="1617"/>
        <w:gridCol w:w="1692"/>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408" w:hRule="atLeast"/>
        </w:trPr>
        <w:tc>
          <w:tcPr>
            <w:tcW w:w="5905"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编制单位：焉耆回族自治县人民代表大会常务委员会</w:t>
            </w:r>
          </w:p>
        </w:tc>
        <w:tc>
          <w:tcPr>
            <w:tcW w:w="3309"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2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3"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3"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一般公共服务支出</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408.30</w:t>
            </w:r>
          </w:p>
        </w:tc>
        <w:tc>
          <w:tcPr>
            <w:tcW w:w="183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393.00</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15.30</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人大事务</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408.30</w:t>
            </w:r>
          </w:p>
        </w:tc>
        <w:tc>
          <w:tcPr>
            <w:tcW w:w="183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393.00</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15.30</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行政运行</w:t>
            </w:r>
          </w:p>
        </w:tc>
        <w:tc>
          <w:tcPr>
            <w:tcW w:w="1678" w:type="dxa"/>
            <w:tcBorders>
              <w:top w:val="nil"/>
              <w:left w:val="nil"/>
              <w:bottom w:val="single" w:color="auto" w:sz="4" w:space="0"/>
              <w:right w:val="single" w:color="auto" w:sz="4" w:space="0"/>
            </w:tcBorders>
            <w:noWrap w:val="0"/>
            <w:vAlign w:val="center"/>
          </w:tcPr>
          <w:p>
            <w:pPr>
              <w:widowControl/>
              <w:ind w:firstLine="200" w:firstLineChars="100"/>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393.00</w:t>
            </w:r>
          </w:p>
        </w:tc>
        <w:tc>
          <w:tcPr>
            <w:tcW w:w="183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393.00</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一般行政管理事务</w:t>
            </w:r>
          </w:p>
        </w:tc>
        <w:tc>
          <w:tcPr>
            <w:tcW w:w="1678" w:type="dxa"/>
            <w:tcBorders>
              <w:top w:val="nil"/>
              <w:left w:val="nil"/>
              <w:bottom w:val="single" w:color="auto" w:sz="4" w:space="0"/>
              <w:right w:val="single" w:color="auto" w:sz="4" w:space="0"/>
            </w:tcBorders>
            <w:noWrap w:val="0"/>
            <w:vAlign w:val="center"/>
          </w:tcPr>
          <w:p>
            <w:pPr>
              <w:widowControl/>
              <w:ind w:firstLine="200" w:firstLineChars="100"/>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7.30</w:t>
            </w:r>
          </w:p>
        </w:tc>
        <w:tc>
          <w:tcPr>
            <w:tcW w:w="183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7.30</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99</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20"/>
                <w:szCs w:val="20"/>
                <w:u w:val="none"/>
                <w:lang w:val="en-US" w:eastAsia="zh-CN" w:bidi="ar"/>
              </w:rPr>
              <w:t>其他人大事务支出</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20"/>
                <w:szCs w:val="20"/>
                <w:u w:val="none"/>
                <w:lang w:val="en-US" w:eastAsia="zh-CN" w:bidi="ar"/>
              </w:rPr>
              <w:t>8.00</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color w:val="auto"/>
                <w:kern w:val="0"/>
                <w:sz w:val="20"/>
                <w:szCs w:val="20"/>
                <w:highlight w:val="none"/>
              </w:rPr>
            </w:pP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8.00</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20"/>
                <w:szCs w:val="20"/>
                <w:u w:val="none"/>
                <w:lang w:val="en-US" w:eastAsia="zh-CN" w:bidi="ar"/>
              </w:rPr>
              <w:t>社会保障和就业支出</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20"/>
                <w:szCs w:val="20"/>
                <w:u w:val="none"/>
                <w:lang w:val="en-US" w:eastAsia="zh-CN" w:bidi="ar"/>
              </w:rPr>
              <w:t>79.40</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20"/>
                <w:szCs w:val="20"/>
                <w:u w:val="none"/>
                <w:lang w:val="en-US" w:eastAsia="zh-CN" w:bidi="ar"/>
              </w:rPr>
              <w:t>79.40</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79.40</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79.40</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r>
              <w:rPr>
                <w:rFonts w:hint="default" w:ascii="Times New Roman" w:hAnsi="Times New Roman" w:eastAsia="仿宋_GB2312"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16.09</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16.09</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r>
              <w:rPr>
                <w:rFonts w:hint="default" w:ascii="Times New Roman" w:hAnsi="Times New Roman" w:eastAsia="仿宋_GB2312"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42.53</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42.53</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06</w:t>
            </w:r>
            <w:r>
              <w:rPr>
                <w:rFonts w:hint="default" w:ascii="Times New Roman" w:hAnsi="Times New Roman" w:eastAsia="仿宋_GB2312"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20.78</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20.78</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26.16</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26.16</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26.16</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26.16</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r>
              <w:rPr>
                <w:rFonts w:hint="default" w:ascii="Times New Roman" w:hAnsi="Times New Roman" w:eastAsia="仿宋_GB2312"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18.71</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18.71</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03</w:t>
            </w:r>
            <w:r>
              <w:rPr>
                <w:rFonts w:hint="default" w:ascii="Times New Roman" w:hAnsi="Times New Roman" w:eastAsia="仿宋_GB2312"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7.44</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7.44</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221</w:t>
            </w: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31.42</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31.42</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31.42</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31.42</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r>
              <w:rPr>
                <w:rFonts w:hint="default" w:ascii="Times New Roman" w:hAnsi="Times New Roman" w:eastAsia="仿宋_GB2312"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67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31.42</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31.42</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83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83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545.28</w:t>
            </w:r>
          </w:p>
        </w:tc>
        <w:tc>
          <w:tcPr>
            <w:tcW w:w="183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529.98</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15.30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编制单位：焉耆回族自治县人民代表大会常务委员会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工资福利支出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404.0</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404.0</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基本工资</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139.70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139.70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津贴补贴</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138.62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138.62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08</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机关事业单位基本养老保险缴费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41.57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41.57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09</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20.78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20.78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18.7</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18.7</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公务员医疗补助缴费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7.44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7.44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1.87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1.87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31.18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31.18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99</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其他工资福利支出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4.1</w:t>
            </w:r>
            <w:r>
              <w:rPr>
                <w:rFonts w:hint="eastAsia" w:ascii="Times New Roman" w:hAnsi="Times New Roman" w:eastAsia="仿宋_GB2312" w:cs="Times New Roman"/>
                <w:i w:val="0"/>
                <w:iCs w:val="0"/>
                <w:color w:val="000000"/>
                <w:kern w:val="0"/>
                <w:sz w:val="20"/>
                <w:szCs w:val="20"/>
                <w:u w:val="none"/>
                <w:lang w:val="en-US" w:eastAsia="zh-CN" w:bidi="ar"/>
              </w:rPr>
              <w:t>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4.1</w:t>
            </w:r>
            <w:r>
              <w:rPr>
                <w:rFonts w:hint="eastAsia"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商品与服务支出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109.87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109.87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13.7</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13.7</w:t>
            </w:r>
            <w:r>
              <w:rPr>
                <w:rFonts w:hint="eastAsia" w:ascii="Times New Roman" w:hAnsi="Times New Roman" w:eastAsia="仿宋_GB2312" w:cs="Times New Roman"/>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1.26</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r>
              <w:rPr>
                <w:rFonts w:hint="eastAsia" w:ascii="Times New Roman" w:hAnsi="Times New Roman" w:eastAsia="仿宋_GB2312" w:cs="Times New Roman"/>
                <w:i w:val="0"/>
                <w:iCs w:val="0"/>
                <w:color w:val="000000"/>
                <w:kern w:val="0"/>
                <w:sz w:val="20"/>
                <w:szCs w:val="20"/>
                <w:u w:val="none"/>
                <w:lang w:val="en-US" w:eastAsia="zh-CN" w:bidi="ar"/>
              </w:rPr>
              <w:t>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r>
              <w:rPr>
                <w:rFonts w:hint="eastAsia" w:ascii="Times New Roman" w:hAnsi="Times New Roman" w:eastAsia="仿宋_GB2312" w:cs="Times New Roman"/>
                <w:i w:val="0"/>
                <w:iCs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06</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1.47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1.47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取暖费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会议费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15.00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0.05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0.05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w:t>
            </w: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公务用车运行维护费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3.60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其他商品和服务支出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70.56</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70.56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对个人和家庭补助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16.09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16.09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退休费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16.09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16.09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529.98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420.11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109.87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9987" w:type="dxa"/>
        <w:tblInd w:w="-360" w:type="dxa"/>
        <w:tblLayout w:type="fixed"/>
        <w:tblCellMar>
          <w:top w:w="0" w:type="dxa"/>
          <w:left w:w="108" w:type="dxa"/>
          <w:bottom w:w="0" w:type="dxa"/>
          <w:right w:w="108" w:type="dxa"/>
        </w:tblCellMar>
      </w:tblPr>
      <w:tblGrid>
        <w:gridCol w:w="13"/>
        <w:gridCol w:w="522"/>
        <w:gridCol w:w="552"/>
        <w:gridCol w:w="528"/>
        <w:gridCol w:w="1116"/>
        <w:gridCol w:w="1584"/>
        <w:gridCol w:w="696"/>
        <w:gridCol w:w="485"/>
        <w:gridCol w:w="703"/>
        <w:gridCol w:w="467"/>
        <w:gridCol w:w="417"/>
        <w:gridCol w:w="404"/>
        <w:gridCol w:w="326"/>
        <w:gridCol w:w="390"/>
        <w:gridCol w:w="564"/>
        <w:gridCol w:w="386"/>
        <w:gridCol w:w="417"/>
        <w:gridCol w:w="372"/>
        <w:gridCol w:w="45"/>
      </w:tblGrid>
      <w:tr>
        <w:tblPrEx>
          <w:tblCellMar>
            <w:top w:w="0" w:type="dxa"/>
            <w:left w:w="108" w:type="dxa"/>
            <w:bottom w:w="0" w:type="dxa"/>
            <w:right w:w="108" w:type="dxa"/>
          </w:tblCellMar>
        </w:tblPrEx>
        <w:trPr>
          <w:gridBefore w:val="1"/>
          <w:gridAfter w:val="1"/>
          <w:wBefore w:w="13" w:type="dxa"/>
          <w:wAfter w:w="45" w:type="dxa"/>
          <w:trHeight w:val="375" w:hRule="atLeast"/>
        </w:trPr>
        <w:tc>
          <w:tcPr>
            <w:tcW w:w="9929"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3" w:type="dxa"/>
          <w:wAfter w:w="45" w:type="dxa"/>
          <w:trHeight w:val="405" w:hRule="atLeast"/>
        </w:trPr>
        <w:tc>
          <w:tcPr>
            <w:tcW w:w="7474" w:type="dxa"/>
            <w:gridSpan w:val="11"/>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编制单位：焉耆回族自治县人民代表大会常务委员会</w:t>
            </w:r>
          </w:p>
        </w:tc>
        <w:tc>
          <w:tcPr>
            <w:tcW w:w="2455"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15"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11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584"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69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8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70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46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1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730"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39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56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38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1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17"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35"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552"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528"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116"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58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9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0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0"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9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8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7"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5"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55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Hans"/>
              </w:rPr>
            </w:pPr>
          </w:p>
        </w:tc>
        <w:tc>
          <w:tcPr>
            <w:tcW w:w="5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1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一般公共服务支出</w:t>
            </w:r>
            <w:r>
              <w:rPr>
                <w:rFonts w:hint="default" w:ascii="Times New Roman" w:hAnsi="Times New Roman" w:eastAsia="仿宋_GB2312" w:cs="Times New Roman"/>
                <w:color w:val="auto"/>
                <w:kern w:val="0"/>
                <w:sz w:val="20"/>
                <w:szCs w:val="20"/>
                <w:highlight w:val="none"/>
              </w:rPr>
              <w:t>　</w:t>
            </w:r>
          </w:p>
        </w:tc>
        <w:tc>
          <w:tcPr>
            <w:tcW w:w="158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96"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15.30</w:t>
            </w:r>
            <w:r>
              <w:rPr>
                <w:rFonts w:hint="default" w:ascii="Times New Roman" w:hAnsi="Times New Roman" w:eastAsia="仿宋_GB2312" w:cs="Times New Roman"/>
                <w:color w:val="auto"/>
                <w:kern w:val="0"/>
                <w:sz w:val="20"/>
                <w:szCs w:val="20"/>
                <w:highlight w:val="none"/>
              </w:rPr>
              <w:t>　</w:t>
            </w:r>
          </w:p>
        </w:tc>
        <w:tc>
          <w:tcPr>
            <w:tcW w:w="485"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03"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15.30</w:t>
            </w:r>
            <w:r>
              <w:rPr>
                <w:rFonts w:hint="default" w:ascii="Times New Roman" w:hAnsi="Times New Roman" w:eastAsia="仿宋_GB2312" w:cs="Times New Roman"/>
                <w:color w:val="auto"/>
                <w:kern w:val="0"/>
                <w:sz w:val="20"/>
                <w:szCs w:val="20"/>
                <w:highlight w:val="none"/>
              </w:rPr>
              <w:t>　</w:t>
            </w:r>
          </w:p>
        </w:tc>
        <w:tc>
          <w:tcPr>
            <w:tcW w:w="46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8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5"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55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5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11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人大事务</w:t>
            </w:r>
          </w:p>
        </w:tc>
        <w:tc>
          <w:tcPr>
            <w:tcW w:w="1584" w:type="dxa"/>
            <w:noWrap w:val="0"/>
            <w:vAlign w:val="center"/>
          </w:tcPr>
          <w:p>
            <w:pPr>
              <w:jc w:val="left"/>
              <w:rPr>
                <w:rFonts w:hint="default" w:ascii="Times New Roman" w:hAnsi="Times New Roman" w:eastAsia="仿宋_GB2312" w:cs="Times New Roman"/>
                <w:color w:val="auto"/>
                <w:kern w:val="0"/>
                <w:sz w:val="20"/>
                <w:szCs w:val="20"/>
                <w:highlight w:val="none"/>
              </w:rPr>
            </w:pPr>
          </w:p>
        </w:tc>
        <w:tc>
          <w:tcPr>
            <w:tcW w:w="69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15.30</w:t>
            </w:r>
          </w:p>
        </w:tc>
        <w:tc>
          <w:tcPr>
            <w:tcW w:w="485" w:type="dxa"/>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70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15.30</w:t>
            </w:r>
          </w:p>
        </w:tc>
        <w:tc>
          <w:tcPr>
            <w:tcW w:w="46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8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5"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201</w:t>
            </w:r>
          </w:p>
        </w:tc>
        <w:tc>
          <w:tcPr>
            <w:tcW w:w="55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5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111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一般行政管理事务</w:t>
            </w:r>
          </w:p>
        </w:tc>
        <w:tc>
          <w:tcPr>
            <w:tcW w:w="1584"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2025年自治州基层人大代表活动经费及基层代表联络站补助经费-巴财行【2024】36号</w:t>
            </w:r>
          </w:p>
        </w:tc>
        <w:tc>
          <w:tcPr>
            <w:tcW w:w="69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7.30</w:t>
            </w:r>
          </w:p>
        </w:tc>
        <w:tc>
          <w:tcPr>
            <w:tcW w:w="485" w:type="dxa"/>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70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7.30</w:t>
            </w:r>
          </w:p>
        </w:tc>
        <w:tc>
          <w:tcPr>
            <w:tcW w:w="46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8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5"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55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5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99</w:t>
            </w:r>
          </w:p>
        </w:tc>
        <w:tc>
          <w:tcPr>
            <w:tcW w:w="111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其他人大事务支出</w:t>
            </w:r>
          </w:p>
        </w:tc>
        <w:tc>
          <w:tcPr>
            <w:tcW w:w="1584"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2025年自治区基层人大补助经费-巴财行【2024】57号</w:t>
            </w:r>
          </w:p>
        </w:tc>
        <w:tc>
          <w:tcPr>
            <w:tcW w:w="69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8.00</w:t>
            </w:r>
          </w:p>
        </w:tc>
        <w:tc>
          <w:tcPr>
            <w:tcW w:w="485" w:type="dxa"/>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70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8.00</w:t>
            </w:r>
          </w:p>
        </w:tc>
        <w:tc>
          <w:tcPr>
            <w:tcW w:w="46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8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5"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5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2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58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96"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5"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03"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6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8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5"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55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52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11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158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696"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p>
        </w:tc>
        <w:tc>
          <w:tcPr>
            <w:tcW w:w="485"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p>
        </w:tc>
        <w:tc>
          <w:tcPr>
            <w:tcW w:w="703"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p>
        </w:tc>
        <w:tc>
          <w:tcPr>
            <w:tcW w:w="46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73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39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56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38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5"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5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2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58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96"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85"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03"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6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8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5"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5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2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58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696"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15.30</w:t>
            </w:r>
          </w:p>
        </w:tc>
        <w:tc>
          <w:tcPr>
            <w:tcW w:w="485" w:type="dxa"/>
            <w:noWrap w:val="0"/>
            <w:vAlign w:val="top"/>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03"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15.30</w:t>
            </w:r>
          </w:p>
        </w:tc>
        <w:tc>
          <w:tcPr>
            <w:tcW w:w="46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4"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8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编制单位：焉耆回族自治县人民代表大会常务委员会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w:t>
      </w:r>
      <w:r>
        <w:rPr>
          <w:rFonts w:hint="eastAsia" w:ascii="Times New Roman" w:hAnsi="Times New Roman"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CN"/>
        </w:rPr>
        <w:t>政府性基金预算支出，此表为空表。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编制单位：焉耆回族自治县人民代表大会常务委员会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年本单位</w:t>
      </w:r>
      <w:r>
        <w:rPr>
          <w:rFonts w:hint="eastAsia" w:ascii="仿宋_GB2312" w:hAnsi="宋体" w:eastAsia="仿宋_GB2312"/>
          <w:b/>
          <w:color w:val="auto"/>
          <w:kern w:val="0"/>
          <w:sz w:val="28"/>
          <w:szCs w:val="32"/>
          <w:highlight w:val="none"/>
          <w:lang w:eastAsia="zh-CN"/>
        </w:rPr>
        <w:t>无</w:t>
      </w:r>
      <w:r>
        <w:rPr>
          <w:rFonts w:hint="eastAsia" w:ascii="仿宋_GB2312" w:hAnsi="宋体" w:eastAsia="仿宋_GB2312"/>
          <w:b/>
          <w:color w:val="auto"/>
          <w:kern w:val="0"/>
          <w:sz w:val="28"/>
          <w:szCs w:val="32"/>
          <w:highlight w:val="none"/>
        </w:rPr>
        <w:t>国有资本经营预算支出，此表为空表。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编制单位：焉耆回族自治县人民代表大会常务委员会         单位：万元</w:t>
      </w:r>
    </w:p>
    <w:tbl>
      <w:tblPr>
        <w:tblStyle w:val="10"/>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1158"/>
        <w:gridCol w:w="1249"/>
        <w:gridCol w:w="1508"/>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8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9"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32"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center"/>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合计</w:t>
            </w:r>
          </w:p>
        </w:tc>
        <w:tc>
          <w:tcPr>
            <w:tcW w:w="1158"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eastAsia" w:ascii="Times New Roman" w:hAnsi="Times New Roman" w:eastAsia="仿宋_GB2312" w:cs="Times New Roman"/>
                <w:b w:val="0"/>
                <w:bCs/>
                <w:color w:val="auto"/>
                <w:kern w:val="0"/>
                <w:sz w:val="20"/>
                <w:szCs w:val="20"/>
                <w:highlight w:val="none"/>
                <w:vertAlign w:val="baseline"/>
                <w:lang w:val="en-US" w:eastAsia="zh-CN"/>
              </w:rPr>
              <w:t>3.6</w:t>
            </w:r>
            <w:r>
              <w:rPr>
                <w:rFonts w:hint="eastAsia" w:eastAsia="仿宋_GB2312" w:cs="Times New Roman"/>
                <w:b w:val="0"/>
                <w:bCs/>
                <w:color w:val="auto"/>
                <w:kern w:val="0"/>
                <w:sz w:val="20"/>
                <w:szCs w:val="20"/>
                <w:highlight w:val="none"/>
                <w:vertAlign w:val="baseline"/>
                <w:lang w:val="en-US" w:eastAsia="zh-CN"/>
              </w:rPr>
              <w:t>0</w:t>
            </w:r>
          </w:p>
        </w:tc>
        <w:tc>
          <w:tcPr>
            <w:tcW w:w="1249"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eastAsia" w:ascii="Times New Roman" w:hAnsi="Times New Roman" w:eastAsia="仿宋_GB2312" w:cs="Times New Roman"/>
                <w:b w:val="0"/>
                <w:bCs/>
                <w:color w:val="auto"/>
                <w:kern w:val="0"/>
                <w:sz w:val="20"/>
                <w:szCs w:val="20"/>
                <w:highlight w:val="none"/>
                <w:vertAlign w:val="baseline"/>
                <w:lang w:val="en-US" w:eastAsia="zh-CN"/>
              </w:rPr>
              <w:t>3.6</w:t>
            </w:r>
            <w:r>
              <w:rPr>
                <w:rFonts w:hint="eastAsia" w:eastAsia="仿宋_GB2312" w:cs="Times New Roman"/>
                <w:b w:val="0"/>
                <w:bCs/>
                <w:color w:val="auto"/>
                <w:kern w:val="0"/>
                <w:sz w:val="20"/>
                <w:szCs w:val="20"/>
                <w:highlight w:val="none"/>
                <w:vertAlign w:val="baseline"/>
                <w:lang w:val="en-US" w:eastAsia="zh-CN"/>
              </w:rPr>
              <w:t>0</w:t>
            </w:r>
          </w:p>
        </w:tc>
        <w:tc>
          <w:tcPr>
            <w:tcW w:w="1508"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532"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center"/>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因公出国（境）费</w:t>
            </w:r>
          </w:p>
        </w:tc>
        <w:tc>
          <w:tcPr>
            <w:tcW w:w="1158" w:type="dxa"/>
            <w:noWrap w:val="0"/>
            <w:vAlign w:val="center"/>
          </w:tcPr>
          <w:p>
            <w:pPr>
              <w:widowControl/>
              <w:jc w:val="center"/>
              <w:outlineLvl w:val="1"/>
              <w:rPr>
                <w:rFonts w:hint="eastAsia" w:ascii="Times New Roman" w:hAnsi="Times New Roman" w:eastAsia="仿宋_GB2312" w:cs="Times New Roman"/>
                <w:b w:val="0"/>
                <w:bCs/>
                <w:color w:val="auto"/>
                <w:kern w:val="0"/>
                <w:sz w:val="20"/>
                <w:szCs w:val="20"/>
                <w:highlight w:val="none"/>
                <w:vertAlign w:val="baseline"/>
              </w:rPr>
            </w:pPr>
          </w:p>
        </w:tc>
        <w:tc>
          <w:tcPr>
            <w:tcW w:w="1249" w:type="dxa"/>
            <w:noWrap w:val="0"/>
            <w:vAlign w:val="center"/>
          </w:tcPr>
          <w:p>
            <w:pPr>
              <w:widowControl/>
              <w:jc w:val="center"/>
              <w:outlineLvl w:val="1"/>
              <w:rPr>
                <w:rFonts w:hint="eastAsia" w:ascii="Times New Roman" w:hAnsi="Times New Roman" w:eastAsia="仿宋_GB2312" w:cs="Times New Roman"/>
                <w:b w:val="0"/>
                <w:bCs/>
                <w:color w:val="auto"/>
                <w:kern w:val="0"/>
                <w:sz w:val="20"/>
                <w:szCs w:val="20"/>
                <w:highlight w:val="none"/>
                <w:vertAlign w:val="baseline"/>
              </w:rPr>
            </w:pPr>
          </w:p>
        </w:tc>
        <w:tc>
          <w:tcPr>
            <w:tcW w:w="1508"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532"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center"/>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公务接待费</w:t>
            </w:r>
          </w:p>
        </w:tc>
        <w:tc>
          <w:tcPr>
            <w:tcW w:w="1158" w:type="dxa"/>
            <w:noWrap w:val="0"/>
            <w:vAlign w:val="center"/>
          </w:tcPr>
          <w:p>
            <w:pPr>
              <w:widowControl/>
              <w:jc w:val="center"/>
              <w:outlineLvl w:val="1"/>
              <w:rPr>
                <w:rFonts w:hint="eastAsia" w:ascii="Times New Roman" w:hAnsi="Times New Roman" w:eastAsia="仿宋_GB2312" w:cs="Times New Roman"/>
                <w:b w:val="0"/>
                <w:bCs/>
                <w:color w:val="auto"/>
                <w:kern w:val="0"/>
                <w:sz w:val="20"/>
                <w:szCs w:val="20"/>
                <w:highlight w:val="none"/>
                <w:vertAlign w:val="baseline"/>
              </w:rPr>
            </w:pPr>
          </w:p>
        </w:tc>
        <w:tc>
          <w:tcPr>
            <w:tcW w:w="1249" w:type="dxa"/>
            <w:noWrap w:val="0"/>
            <w:vAlign w:val="center"/>
          </w:tcPr>
          <w:p>
            <w:pPr>
              <w:widowControl/>
              <w:jc w:val="center"/>
              <w:outlineLvl w:val="1"/>
              <w:rPr>
                <w:rFonts w:hint="eastAsia" w:ascii="Times New Roman" w:hAnsi="Times New Roman" w:eastAsia="仿宋_GB2312" w:cs="Times New Roman"/>
                <w:b w:val="0"/>
                <w:bCs/>
                <w:color w:val="auto"/>
                <w:kern w:val="0"/>
                <w:sz w:val="20"/>
                <w:szCs w:val="20"/>
                <w:highlight w:val="none"/>
                <w:vertAlign w:val="baseline"/>
              </w:rPr>
            </w:pPr>
          </w:p>
        </w:tc>
        <w:tc>
          <w:tcPr>
            <w:tcW w:w="1508"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532"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3578" w:type="dxa"/>
            <w:noWrap w:val="0"/>
            <w:vAlign w:val="center"/>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公务用车购置及运行费</w:t>
            </w:r>
          </w:p>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（小计）</w:t>
            </w:r>
          </w:p>
        </w:tc>
        <w:tc>
          <w:tcPr>
            <w:tcW w:w="1158"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eastAsia" w:ascii="Times New Roman" w:hAnsi="Times New Roman" w:eastAsia="仿宋_GB2312" w:cs="Times New Roman"/>
                <w:b w:val="0"/>
                <w:bCs/>
                <w:color w:val="auto"/>
                <w:kern w:val="0"/>
                <w:sz w:val="20"/>
                <w:szCs w:val="20"/>
                <w:highlight w:val="none"/>
                <w:vertAlign w:val="baseline"/>
                <w:lang w:val="en-US" w:eastAsia="zh-CN"/>
              </w:rPr>
              <w:t>3.6</w:t>
            </w:r>
            <w:r>
              <w:rPr>
                <w:rFonts w:hint="eastAsia" w:eastAsia="仿宋_GB2312" w:cs="Times New Roman"/>
                <w:b w:val="0"/>
                <w:bCs/>
                <w:color w:val="auto"/>
                <w:kern w:val="0"/>
                <w:sz w:val="20"/>
                <w:szCs w:val="20"/>
                <w:highlight w:val="none"/>
                <w:vertAlign w:val="baseline"/>
                <w:lang w:val="en-US" w:eastAsia="zh-CN"/>
              </w:rPr>
              <w:t>0</w:t>
            </w:r>
          </w:p>
        </w:tc>
        <w:tc>
          <w:tcPr>
            <w:tcW w:w="1249"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eastAsia" w:ascii="Times New Roman" w:hAnsi="Times New Roman" w:eastAsia="仿宋_GB2312" w:cs="Times New Roman"/>
                <w:b w:val="0"/>
                <w:bCs/>
                <w:color w:val="auto"/>
                <w:kern w:val="0"/>
                <w:sz w:val="20"/>
                <w:szCs w:val="20"/>
                <w:highlight w:val="none"/>
                <w:vertAlign w:val="baseline"/>
                <w:lang w:val="en-US" w:eastAsia="zh-CN"/>
              </w:rPr>
              <w:t>3.6</w:t>
            </w:r>
            <w:r>
              <w:rPr>
                <w:rFonts w:hint="eastAsia" w:eastAsia="仿宋_GB2312" w:cs="Times New Roman"/>
                <w:b w:val="0"/>
                <w:bCs/>
                <w:color w:val="auto"/>
                <w:kern w:val="0"/>
                <w:sz w:val="20"/>
                <w:szCs w:val="20"/>
                <w:highlight w:val="none"/>
                <w:vertAlign w:val="baseline"/>
                <w:lang w:val="en-US" w:eastAsia="zh-CN"/>
              </w:rPr>
              <w:t>0</w:t>
            </w:r>
          </w:p>
        </w:tc>
        <w:tc>
          <w:tcPr>
            <w:tcW w:w="1508"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532"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top"/>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其中：公务用车购置费</w:t>
            </w:r>
          </w:p>
        </w:tc>
        <w:tc>
          <w:tcPr>
            <w:tcW w:w="1158"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tc>
        <w:tc>
          <w:tcPr>
            <w:tcW w:w="1249"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tc>
        <w:tc>
          <w:tcPr>
            <w:tcW w:w="1508"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532"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top"/>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 xml:space="preserve"> 公务用车运行费</w:t>
            </w:r>
          </w:p>
        </w:tc>
        <w:tc>
          <w:tcPr>
            <w:tcW w:w="1158"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r>
              <w:rPr>
                <w:rFonts w:hint="eastAsia" w:ascii="Times New Roman" w:hAnsi="Times New Roman" w:eastAsia="仿宋_GB2312" w:cs="Times New Roman"/>
                <w:b w:val="0"/>
                <w:bCs/>
                <w:color w:val="auto"/>
                <w:kern w:val="0"/>
                <w:sz w:val="20"/>
                <w:szCs w:val="20"/>
                <w:highlight w:val="none"/>
                <w:vertAlign w:val="baseline"/>
                <w:lang w:val="en-US" w:eastAsia="zh-CN"/>
              </w:rPr>
              <w:t>3.6</w:t>
            </w:r>
            <w:r>
              <w:rPr>
                <w:rFonts w:hint="eastAsia" w:eastAsia="仿宋_GB2312" w:cs="Times New Roman"/>
                <w:b w:val="0"/>
                <w:bCs/>
                <w:color w:val="auto"/>
                <w:kern w:val="0"/>
                <w:sz w:val="20"/>
                <w:szCs w:val="20"/>
                <w:highlight w:val="none"/>
                <w:vertAlign w:val="baseline"/>
                <w:lang w:val="en-US" w:eastAsia="zh-CN"/>
              </w:rPr>
              <w:t>0</w:t>
            </w:r>
          </w:p>
        </w:tc>
        <w:tc>
          <w:tcPr>
            <w:tcW w:w="1249"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r>
              <w:rPr>
                <w:rFonts w:hint="eastAsia" w:ascii="Times New Roman" w:hAnsi="Times New Roman" w:eastAsia="仿宋_GB2312" w:cs="Times New Roman"/>
                <w:b w:val="0"/>
                <w:bCs/>
                <w:color w:val="auto"/>
                <w:kern w:val="0"/>
                <w:sz w:val="20"/>
                <w:szCs w:val="20"/>
                <w:highlight w:val="none"/>
                <w:vertAlign w:val="baseline"/>
                <w:lang w:val="en-US" w:eastAsia="zh-CN"/>
              </w:rPr>
              <w:t>3.6</w:t>
            </w:r>
            <w:r>
              <w:rPr>
                <w:rFonts w:hint="eastAsia" w:eastAsia="仿宋_GB2312" w:cs="Times New Roman"/>
                <w:b w:val="0"/>
                <w:bCs/>
                <w:color w:val="auto"/>
                <w:kern w:val="0"/>
                <w:sz w:val="20"/>
                <w:szCs w:val="20"/>
                <w:highlight w:val="none"/>
                <w:vertAlign w:val="baseline"/>
                <w:lang w:val="en-US" w:eastAsia="zh-CN"/>
              </w:rPr>
              <w:t>0</w:t>
            </w:r>
          </w:p>
        </w:tc>
        <w:tc>
          <w:tcPr>
            <w:tcW w:w="1508"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532"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pStyle w:val="2"/>
        <w:rPr>
          <w:rFonts w:hint="eastAsia"/>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 xml:space="preserve">编制单位：焉耆县人民代表大会常务委员会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年本单位无上年结转结余情况，此表为空表。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一、关于焉耆回族自治县人民代表大会常务委员会2025年收支预算情况的总体说明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按照全口径预算的原则，焉耆回族自治县人民代表大会常务委员会2025年所有收入和支出均纳入单位预算管理。收支总预算545.28万元。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二、关于焉耆回族自治县人民代表大会常务委员会2025年收入预算情况说明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焉耆回族自治县人民代表大会常务委员会收入预算545.28万元，其中：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一般公共预算529.98万元，占97.19%，比上年预算减少57.22万元，下降9.74%，主要原因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：焉耆县人民代表大会常务委员会工作人员经费、社保经费、运行经费及代表活动经费减少。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上级一般公共预算安排的转移支付资金15.3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万元，占2.81%，比上年预算数减少0.42万元，下降2.</w:t>
      </w:r>
      <w:r>
        <w:rPr>
          <w:rFonts w:hint="eastAsia" w:eastAsia="仿宋_GB2312" w:cs="Times New Roman"/>
          <w:color w:val="auto"/>
          <w:kern w:val="0"/>
          <w:sz w:val="32"/>
          <w:szCs w:val="32"/>
          <w:highlight w:val="none"/>
          <w:lang w:val="en-US" w:eastAsia="zh-CN"/>
        </w:rPr>
        <w:t>67</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本年度补贴工作人员及代表人员减少，</w:t>
      </w:r>
      <w:r>
        <w:rPr>
          <w:rFonts w:hint="default" w:ascii="Times New Roman" w:hAnsi="Times New Roman" w:eastAsia="仿宋_GB2312" w:cs="Times New Roman"/>
          <w:color w:val="auto"/>
          <w:kern w:val="0"/>
          <w:sz w:val="32"/>
          <w:szCs w:val="32"/>
          <w:highlight w:val="none"/>
          <w:lang w:val="en-US" w:eastAsia="zh-CN"/>
        </w:rPr>
        <w:t>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三、关于焉耆回族自治县人民代表大会常务委员会2025年支出预算情况说明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焉耆回族自治县人民代表大会常务委员会2025年支出预算545.28</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529.98</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97.19</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57.22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9.94</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：本年度新增退休人员</w:t>
      </w:r>
      <w:r>
        <w:rPr>
          <w:rFonts w:hint="default" w:ascii="Times New Roman" w:hAnsi="Times New Roman" w:eastAsia="仿宋_GB2312" w:cs="Times New Roman"/>
          <w:color w:val="auto"/>
          <w:kern w:val="0"/>
          <w:sz w:val="32"/>
          <w:szCs w:val="32"/>
          <w:highlight w:val="none"/>
          <w:lang w:val="en-US" w:eastAsia="zh-CN"/>
        </w:rPr>
        <w:t>1人，人员经费支出减少，</w:t>
      </w:r>
      <w:r>
        <w:rPr>
          <w:rFonts w:hint="default" w:ascii="Times New Roman" w:hAnsi="Times New Roman" w:eastAsia="仿宋_GB2312" w:cs="Times New Roman"/>
          <w:color w:val="auto"/>
          <w:kern w:val="0"/>
          <w:sz w:val="32"/>
          <w:szCs w:val="32"/>
          <w:highlight w:val="none"/>
        </w:rPr>
        <w:t>焉耆县人民代表大会常务委员会工作人员经费</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15.3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2.81</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0.42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2.67%，</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val="en-US" w:eastAsia="zh-CN"/>
        </w:rPr>
        <w:t>本年度补贴工作人员及代表人员减少，</w:t>
      </w:r>
      <w:r>
        <w:rPr>
          <w:rFonts w:hint="default" w:ascii="Times New Roman" w:hAnsi="Times New Roman" w:eastAsia="仿宋_GB2312" w:cs="Times New Roman"/>
          <w:color w:val="auto"/>
          <w:kern w:val="0"/>
          <w:sz w:val="32"/>
          <w:szCs w:val="32"/>
          <w:highlight w:val="none"/>
          <w:lang w:val="en-US" w:eastAsia="zh-CN"/>
        </w:rPr>
        <w:t>项目支出减少。</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四、关于焉耆回族自治县人民代表大会常务委员会2025年财政拨款收支预算情况的总体说明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2025年财政拨款收支总预算545.28万元。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收入预算包括：一般公共预算拨款545.28万元。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一般公共预算支出包括:一般公共服务支出408.3万元，主要用于行政运行、一般行政管理事务、其他人大事务支出。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社会保障和就业支出79.4万元,主要用于行政单位离退休、机关事业单位基本养老保险缴费、机关事业单位职业年金。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卫生健康支出26.16万元,主要用于行政单位医疗、公务员医疗补助。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住房保障支出31.42万元，主要用于职工住房公积金。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五、关于焉耆回族自治县人民代表大会常务委员会2025年一般公共预算当年拨款情况说明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焉耆回族自治县人民代表大会常务委员会2025年一般公共预算拨款合计545.28万元,其中：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基本支出529.98万元，比上年预算减少57.22万元，下降9.74%，主要原因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：本年度新增退休人员1人，人员经费支出减少，焉耆县人民代表大会常务委员会工作人员经费减少。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项目支出15.3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万元，比上年预算减少0.42万元，下降2.67%，主要原因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本年度补贴工作人员及代表人员减少，</w:t>
      </w:r>
      <w:r>
        <w:rPr>
          <w:rFonts w:hint="default" w:ascii="Times New Roman" w:hAnsi="Times New Roman" w:eastAsia="仿宋_GB2312" w:cs="Times New Roman"/>
          <w:color w:val="auto"/>
          <w:kern w:val="0"/>
          <w:sz w:val="32"/>
          <w:szCs w:val="32"/>
          <w:highlight w:val="none"/>
          <w:lang w:val="en-US" w:eastAsia="zh-CN"/>
        </w:rPr>
        <w:t xml:space="preserve">项目支出减少。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1.一般公共服务支出（类）408.3</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万元，占74.88%。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2.社会保障和就业支出（类）79.4</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万元，占14.56%。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3.卫生健康支出（类）26.16万元，占4.8</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4.住房保障支出（类）31.42万元，占5.76%。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1.一般公共服务支出（类）人大事务（款）行政运行(项):2025年预算数为393万元,比上年预算减少16.15万元,下降3.95%,主要原因是：本年度新增退休人员1人，人员经费支出减少。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2.一般公共服务支出（类）人大事务（款）一般行政管理事务(项):2025年预算数为7.3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万元,比上年预算增加7.3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万元,增长100%,主要原因是：本年度预算数此科目新增州人大代表活动经费。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一般公共服务支出（类）人大事务（款）其他人大事务支出(项):2024年预算数为8万元，比上年预算减少7.72万元,下降49.11%,主要原因是：本年度预算数此科目中州人大代表活动经费调整到一般行政管理事项支出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4.社会保障和就业支出（类）行政事业单位养老支出（款）行政单位离退休(项):2025年预算数为16.09万元，比上年预算减少41.42万元,下降72.02%,主要原因是：离退人员</w:t>
      </w:r>
      <w:r>
        <w:rPr>
          <w:rFonts w:hint="eastAsia" w:eastAsia="仿宋_GB2312" w:cs="Times New Roman"/>
          <w:color w:val="auto"/>
          <w:kern w:val="0"/>
          <w:sz w:val="32"/>
          <w:szCs w:val="32"/>
          <w:highlight w:val="none"/>
          <w:lang w:val="en-US" w:eastAsia="zh-CN"/>
        </w:rPr>
        <w:t>减少，相应经费减少</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5.社会保障和就业支出（类）行政事业单位养老支出（款）机关事业单位基本养老保险缴费支出(项):2025年预算数为42.53万元，比上年预算增加0.43万元,增长1.0</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6.社会保障和就业支出（类）行政事业单位养老支出（款）机关事业单位职业年金缴费支出(项):2025年预算数为20.78万元，比上年预算减少0.27万元,下降1.2</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%,主要原因是：本年度新增退休人员1人，人员经费支出减少。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7.卫生健康支出（类）行政事业单位医疗（款）行政单位医疗(项):2025年预算数为18.71万元，比上年预算增加0.29万元,增长1.</w:t>
      </w:r>
      <w:r>
        <w:rPr>
          <w:rFonts w:hint="eastAsia" w:eastAsia="仿宋_GB2312" w:cs="Times New Roman"/>
          <w:color w:val="auto"/>
          <w:kern w:val="0"/>
          <w:sz w:val="32"/>
          <w:szCs w:val="32"/>
          <w:highlight w:val="none"/>
          <w:lang w:val="en-US" w:eastAsia="zh-CN"/>
        </w:rPr>
        <w:t>57</w:t>
      </w:r>
      <w:r>
        <w:rPr>
          <w:rFonts w:hint="default" w:ascii="Times New Roman" w:hAnsi="Times New Roman" w:eastAsia="仿宋_GB2312" w:cs="Times New Roman"/>
          <w:color w:val="auto"/>
          <w:kern w:val="0"/>
          <w:sz w:val="32"/>
          <w:szCs w:val="32"/>
          <w:highlight w:val="none"/>
          <w:lang w:val="en-US" w:eastAsia="zh-CN"/>
        </w:rPr>
        <w:t>%,主要原因是：社保缴费基数调整。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8.卫生健康支出（类）行政事业单位医疗（款）公务员医疗补助(项):2025年预算数为7.44万元，比上年预算增加0.05万元,增长0.</w:t>
      </w:r>
      <w:r>
        <w:rPr>
          <w:rFonts w:hint="eastAsia" w:eastAsia="仿宋_GB2312" w:cs="Times New Roman"/>
          <w:color w:val="auto"/>
          <w:kern w:val="0"/>
          <w:sz w:val="32"/>
          <w:szCs w:val="32"/>
          <w:highlight w:val="none"/>
          <w:lang w:val="en-US" w:eastAsia="zh-CN"/>
        </w:rPr>
        <w:t>68</w:t>
      </w:r>
      <w:r>
        <w:rPr>
          <w:rFonts w:hint="default" w:ascii="Times New Roman" w:hAnsi="Times New Roman" w:eastAsia="仿宋_GB2312" w:cs="Times New Roman"/>
          <w:color w:val="auto"/>
          <w:kern w:val="0"/>
          <w:sz w:val="32"/>
          <w:szCs w:val="32"/>
          <w:highlight w:val="none"/>
          <w:lang w:val="en-US" w:eastAsia="zh-CN"/>
        </w:rPr>
        <w:t xml:space="preserve">%,主要原因是：社保缴费基数调整。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9.住房保障支出（类）住房改革支出（款）住房公积金(项):2024年预算数为31.42万元，比上年预算</w:t>
      </w:r>
      <w:r>
        <w:rPr>
          <w:rFonts w:hint="eastAsia" w:eastAsia="仿宋_GB2312" w:cs="Times New Roman"/>
          <w:color w:val="auto"/>
          <w:kern w:val="0"/>
          <w:sz w:val="32"/>
          <w:szCs w:val="32"/>
          <w:highlight w:val="none"/>
          <w:lang w:val="en-US" w:eastAsia="zh-CN"/>
        </w:rPr>
        <w:t>减少0.16</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下降0.51</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人员岗位调整，导致住房支出减少。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六、关于焉耆回族自治县人民代表大会常务委员会2025年一般公共预算基本支出情况说明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焉耆回族自治县人民代表大会常务委员会2025年一般公共预算基本支出529.98万元，其中：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420.11万元，主要包括:基本工资、津贴补贴、机关事业单位基本养老保险缴费、职业年金缴费、职工基本医疗保险缴费、公务员医疗补助缴费、其他社会保障缴费、住房公积金、其他工资福利支出、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公用经费109.87万元，主要包括:办公费、印刷费、水费、电费、邮电费、取暖费、工会经费、福利费、会议费、公务用车运行维护费、其他商品和服务支出。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七、关于焉耆回族自治县人民代表大会常务委员会2025年一般公共预算项目支出情况说明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1.项目名称：2025年自治州基层人大代表活动经费及基层代表联络站补助经费-巴财行【2024】36号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设立的政策依据：巴财行【2024】36号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预算安排规模：7.3万元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资金分配情况：7.</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 xml:space="preserve">万元，分配给 8 个乡镇代表工作站， 用于日常经费支出。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ascii="Times New Roman" w:hAnsi="Times New Roman" w:eastAsia="仿宋_GB2312" w:cs="Times New Roman"/>
          <w:color w:val="auto"/>
          <w:kern w:val="0"/>
          <w:sz w:val="32"/>
          <w:szCs w:val="32"/>
          <w:highlight w:val="none"/>
          <w:lang w:val="en-US" w:eastAsia="zh-CN"/>
        </w:rPr>
        <w:t>1日</w:t>
      </w:r>
      <w:r>
        <w:rPr>
          <w:rFonts w:hint="default" w:ascii="Times New Roman" w:hAnsi="Times New Roman" w:eastAsia="仿宋_GB2312" w:cs="Times New Roman"/>
          <w:color w:val="auto"/>
          <w:kern w:val="0"/>
          <w:sz w:val="32"/>
          <w:szCs w:val="32"/>
          <w:highlight w:val="none"/>
          <w:lang w:val="en-US" w:eastAsia="zh-CN"/>
        </w:rPr>
        <w:t>-12月</w:t>
      </w:r>
      <w:r>
        <w:rPr>
          <w:rFonts w:hint="eastAsia" w:ascii="Times New Roman" w:hAnsi="Times New Roman" w:eastAsia="仿宋_GB2312" w:cs="Times New Roman"/>
          <w:color w:val="auto"/>
          <w:kern w:val="0"/>
          <w:sz w:val="32"/>
          <w:szCs w:val="32"/>
          <w:highlight w:val="none"/>
          <w:lang w:val="en-US" w:eastAsia="zh-CN"/>
        </w:rPr>
        <w:t>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2.项目名称：2025年自治区基层人大补助经费-巴财行【2024】57号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设立的政策依据：巴财行【2024】57号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资金分配情况：6 万元用于“家室站”建设，2 万元用于办公支出。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ascii="Times New Roman" w:hAnsi="Times New Roman" w:eastAsia="仿宋_GB2312" w:cs="Times New Roman"/>
          <w:color w:val="auto"/>
          <w:kern w:val="0"/>
          <w:sz w:val="32"/>
          <w:szCs w:val="32"/>
          <w:highlight w:val="none"/>
          <w:lang w:val="en-US" w:eastAsia="zh-CN"/>
        </w:rPr>
        <w:t>1日</w:t>
      </w:r>
      <w:r>
        <w:rPr>
          <w:rFonts w:hint="default" w:ascii="Times New Roman" w:hAnsi="Times New Roman" w:eastAsia="仿宋_GB2312" w:cs="Times New Roman"/>
          <w:color w:val="auto"/>
          <w:kern w:val="0"/>
          <w:sz w:val="32"/>
          <w:szCs w:val="32"/>
          <w:highlight w:val="none"/>
          <w:lang w:val="en-US" w:eastAsia="zh-CN"/>
        </w:rPr>
        <w:t>-12月</w:t>
      </w:r>
      <w:r>
        <w:rPr>
          <w:rFonts w:hint="eastAsia" w:ascii="Times New Roman" w:hAnsi="Times New Roman" w:eastAsia="仿宋_GB2312" w:cs="Times New Roman"/>
          <w:color w:val="auto"/>
          <w:kern w:val="0"/>
          <w:sz w:val="32"/>
          <w:szCs w:val="32"/>
          <w:highlight w:val="none"/>
          <w:lang w:val="en-US" w:eastAsia="zh-CN"/>
        </w:rPr>
        <w:t>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八、关于焉耆回族自治县人民代表大会常务委员会2025年政府性基金预算支出情况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焉耆回族自治县人民代表大会常务委员会2025年没有使用政府性基金预算拨款安排的支出，政府性基金预算支出情况表为空表。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九、关于焉耆回族自治县人民代表大会常务委员会2025年国有资本经营预算拨款情况说明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焉耆回族自治县人民代表大会常务委员会2025年没有使用国有资本经营预算拨款安排的支出，国有资本经营预算支出情况表为空表。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十、关于焉耆回族自治县人民代表大会常务委员会2025年财政拨款“三公”经费预算情况说明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焉耆回族自治县人民代表大会常务委员会2025年财政拨款“三公”经费数为3.6万元，其中：因公出国（境）费0万元,公务用车购置费0万元,公务用车运行费3.6万元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未安排预算支出。公务用车购置费增加0万元，增长0%,主要原因是：本年度未安排公务用车购置费预算</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eastAsia" w:eastAsia="仿宋_GB2312" w:cs="Times New Roman"/>
          <w:color w:val="auto"/>
          <w:kern w:val="0"/>
          <w:sz w:val="32"/>
          <w:szCs w:val="32"/>
          <w:highlight w:val="none"/>
          <w:lang w:val="en-US" w:eastAsia="zh-CN"/>
        </w:rPr>
        <w:t>与上年度持平</w:t>
      </w:r>
      <w:r>
        <w:rPr>
          <w:rFonts w:hint="default" w:ascii="Times New Roman" w:hAnsi="Times New Roman" w:eastAsia="仿宋_GB2312" w:cs="Times New Roman"/>
          <w:color w:val="auto"/>
          <w:kern w:val="0"/>
          <w:sz w:val="32"/>
          <w:szCs w:val="32"/>
          <w:highlight w:val="none"/>
          <w:lang w:val="en-US" w:eastAsia="zh-CN"/>
        </w:rPr>
        <w:t>。公务接待费增加0万元，增长0%,主要原因是：未安排预算。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、关于焉耆县人民代表大会常务委员会202</w:t>
      </w:r>
      <w:r>
        <w:rPr>
          <w:rFonts w:hint="default" w:ascii="Times New Roman" w:hAnsi="Times New Roman" w:eastAsia="楷体_GB2312" w:cs="Times New Roman"/>
          <w:b/>
          <w:bCs/>
          <w:color w:val="auto"/>
          <w:kern w:val="0"/>
          <w:sz w:val="32"/>
          <w:szCs w:val="32"/>
          <w:highlight w:val="none"/>
          <w:lang w:val="en-US" w:eastAsia="zh-CN"/>
        </w:rPr>
        <w:t>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焉耆县人民代表大会常务委员会2025年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lang w:val="en-US" w:eastAsia="zh-C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焉耆回族自治县人民代表大会常务委员会2025年的机关运行经费财政拨款预算109.87万元，比上年预算减少0.42万元，降低0.38%。主要原因是：本单位厉行节约，压减一般性支出，公用经费减少。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2025年，焉耆回族自治县人民代表大会常务委员会政府采购预算16.56万元，其中：政府采购货物预算9万元，政府采购工程预算0万元，政府采购服务预算7.56万元。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2025年，焉耆回族自治县人民代表大会常务委员会面向中小企业预留政府采购项目预算金额16.56万元，小微企业预留政府采购项目预算金额16.56万元。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截至2024年底，焉耆回族自治县人民代表大会常务委员会及下属各预算单位占用使用国有资产总体情况为：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车辆5辆，价值99.85万元。其中：一般公务用车5辆，价值</w:t>
      </w:r>
      <w:r>
        <w:rPr>
          <w:rFonts w:hint="eastAsia" w:eastAsia="仿宋_GB2312" w:cs="Times New Roman"/>
          <w:color w:val="auto"/>
          <w:kern w:val="0"/>
          <w:sz w:val="32"/>
          <w:szCs w:val="32"/>
          <w:highlight w:val="none"/>
          <w:lang w:val="en-US" w:eastAsia="zh-CN"/>
        </w:rPr>
        <w:t>99.85</w:t>
      </w:r>
      <w:r>
        <w:rPr>
          <w:rFonts w:hint="default" w:ascii="Times New Roman" w:hAnsi="Times New Roman" w:eastAsia="仿宋_GB2312" w:cs="Times New Roman"/>
          <w:color w:val="auto"/>
          <w:kern w:val="0"/>
          <w:sz w:val="32"/>
          <w:szCs w:val="32"/>
          <w:highlight w:val="none"/>
          <w:lang w:val="en-US" w:eastAsia="zh-CN"/>
        </w:rPr>
        <w:t>万元，执法执勤用车0辆，价值0万元，其他用车0辆，价值0万元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整体预算绩效目标1个，涉及预算金额545.28万元；当年预算安排项目共2个，其中: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涉及预算金额15.3</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val="en-US" w:eastAsia="zh-CN"/>
        </w:rPr>
        <w:t>（按项目分别填报）</w:t>
      </w:r>
      <w:r>
        <w:rPr>
          <w:rFonts w:hint="default" w:ascii="Times New Roman" w:hAnsi="Times New Roman" w:eastAsia="仿宋_GB2312" w:cs="Times New Roman"/>
          <w:kern w:val="0"/>
          <w:sz w:val="32"/>
          <w:szCs w:val="32"/>
          <w:highlight w:val="none"/>
        </w:rPr>
        <w:t>：</w:t>
      </w: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tbl>
      <w:tblPr>
        <w:tblStyle w:val="9"/>
        <w:tblpPr w:leftFromText="180" w:rightFromText="180" w:vertAnchor="text" w:horzAnchor="page" w:tblpX="1210" w:tblpY="-1043"/>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995"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995"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750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焉耆回族自治县人民代表大会常务委员会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何大熙</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18909969925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75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县人大常委会工作的总体要求是：按照县委十三届十次全会确定的目标任务，坚持党的领导、人民当家作主、依法治国有机统一，认真履行法定职权，积极践行全过程人民民主，创新推动人大工作高质量发展，为开创中国式现代化焉耆实践作出人大贡献。在县委坚强领导下完成审议重要领域法规案3件，听取和审议专项工作报告15次，支持和保障人大代表履职服务专项工作18项，召开十八届人大五次会议1次，召开人大常委会会议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45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457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rPr>
                <w:rFonts w:hint="default"/>
                <w:lang w:val="en-US" w:eastAsia="zh-CN"/>
              </w:rPr>
            </w:pPr>
            <w:r>
              <w:rPr>
                <w:rFonts w:hint="eastAsia"/>
                <w:lang w:val="en-US" w:eastAsia="zh-CN"/>
              </w:rPr>
              <w:t>15.3</w:t>
            </w:r>
            <w:r>
              <w:rPr>
                <w:rFonts w:hint="eastAsia" w:ascii="宋体" w:hAnsi="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457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529.98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457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审议重要领域法规案</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=3件</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2025年工作要点</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0"/>
                <w:szCs w:val="20"/>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听取和审议专项工作报告</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&gt;=15次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2025年工作要点</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支持和保障人大代表履职服务专项工作</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&gt;=18项</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2025年工作要点</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召开十八届人大五次会议</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2025年工作要点</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召开人大常委会会议</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2025年工作要点</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tbl>
      <w:tblPr>
        <w:tblStyle w:val="9"/>
        <w:tblpPr w:leftFromText="180" w:rightFromText="180" w:vertAnchor="text" w:horzAnchor="page" w:tblpX="1103" w:tblpY="515"/>
        <w:tblOverlap w:val="never"/>
        <w:tblW w:w="9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1"/>
        <w:gridCol w:w="1200"/>
        <w:gridCol w:w="1307"/>
        <w:gridCol w:w="861"/>
        <w:gridCol w:w="1073"/>
        <w:gridCol w:w="900"/>
        <w:gridCol w:w="855"/>
        <w:gridCol w:w="1339"/>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622"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22"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61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焉耆回族自治县人民代表大会常务委员会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24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2025年度自治区基层人大补助经费</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6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何大熙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8</w:t>
            </w:r>
          </w:p>
        </w:tc>
        <w:tc>
          <w:tcPr>
            <w:tcW w:w="107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6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611"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贯彻落实中央人大工作会议精神和自治区党委实施意见，体现自治区党委对基层人大工作的重视和关心，保障基层人大建设代表“家室站”建设，县市代表“室”1个，开展立法监督等工作，改善办公条件，提升办公效率10%，补助经费拨付完成率达到100%，家室站建设费用5万元，弥补办公经费3万元，通过自治区给予经费补助，弥补基层人大建设中经费不足，全面加强基层人大建设，更好支持基层国家权力机关发挥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县市代表“室”</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18"/>
                <w:szCs w:val="18"/>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提升办公效率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&gt;=10%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18"/>
                <w:szCs w:val="18"/>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补助经费拨付完成率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成本指标</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家室站建设费用</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&lt;=5万元</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18"/>
                <w:szCs w:val="18"/>
                <w:highlight w:val="none"/>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弥补办公经费</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&lt;=3万元</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提高基层人大代表履职能力</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有效推进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r>
    </w:tbl>
    <w:p>
      <w:pPr>
        <w:pStyle w:val="2"/>
        <w:rPr>
          <w:rFonts w:hint="eastAsia"/>
          <w:lang w:val="en-US" w:eastAsia="zh-CN"/>
        </w:rPr>
      </w:pPr>
    </w:p>
    <w:p>
      <w:pPr>
        <w:pStyle w:val="2"/>
        <w:rPr>
          <w:rFonts w:hint="eastAsia"/>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tbl>
      <w:tblPr>
        <w:tblStyle w:val="9"/>
        <w:tblpPr w:leftFromText="180" w:rightFromText="180" w:vertAnchor="text" w:horzAnchor="page" w:tblpX="1210" w:tblpY="263"/>
        <w:tblOverlap w:val="never"/>
        <w:tblW w:w="53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
        <w:gridCol w:w="1192"/>
        <w:gridCol w:w="1291"/>
        <w:gridCol w:w="845"/>
        <w:gridCol w:w="1074"/>
        <w:gridCol w:w="909"/>
        <w:gridCol w:w="841"/>
        <w:gridCol w:w="130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000" w:type="pct"/>
            <w:gridSpan w:val="9"/>
            <w:tcBorders>
              <w:top w:val="nil"/>
              <w:left w:val="nil"/>
              <w:bottom w:val="nil"/>
              <w:right w:val="nil"/>
            </w:tcBorders>
            <w:noWrap w:val="0"/>
            <w:vAlign w:val="center"/>
          </w:tcPr>
          <w:p>
            <w:pPr>
              <w:keepNext w:val="0"/>
              <w:keepLines w:val="0"/>
              <w:widowControl/>
              <w:suppressLineNumbers w:val="0"/>
              <w:ind w:firstLine="2891" w:firstLineChars="9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0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3920" w:type="pct"/>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sz w:val="18"/>
                <w:szCs w:val="18"/>
                <w:highlight w:val="none"/>
                <w:u w:val="none"/>
              </w:rPr>
              <w:t>焉耆回族自治县人民代表大会常务委员会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748"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2025年自治州基层人大代表活动经费及基层代表工作联络站补助经费</w:t>
            </w:r>
          </w:p>
        </w:tc>
        <w:tc>
          <w:tcPr>
            <w:tcW w:w="95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121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帕提古丽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7.30</w:t>
            </w:r>
          </w:p>
        </w:tc>
        <w:tc>
          <w:tcPr>
            <w:tcW w:w="58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7.30</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121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10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3920" w:type="pct"/>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县人大常委会机关州代表人数47人，工作站3个，利用经费保障对县人大代表活动室和各乡镇人大代表联络站进行了规范化建设，加大了政策宣传培训力度，提高了代表履职能力，人大代表履职率达到100%，工作完成及时率达到100%，工作站经费2.50万元，人大代表活动经费4.80万元，促进了县、乡镇人大工作高质量开展，有效提升人大代表履职能力，保障代表更好履职，不断提高群众满意度，工作站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43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6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州代表人数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=47人</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18"/>
                <w:szCs w:val="18"/>
                <w:highlight w:val="none"/>
                <w:u w:val="none"/>
                <w:lang w:val="en-US" w:eastAsia="zh-CN" w:bidi="ar"/>
              </w:rPr>
            </w:pPr>
          </w:p>
        </w:tc>
        <w:tc>
          <w:tcPr>
            <w:tcW w:w="64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18"/>
                <w:szCs w:val="18"/>
                <w:highlight w:val="none"/>
                <w:u w:val="none"/>
                <w:lang w:val="en-US" w:eastAsia="zh-CN" w:bidi="ar"/>
              </w:rPr>
            </w:pP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工作站个数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=3个</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18"/>
                <w:szCs w:val="18"/>
                <w:highlight w:val="none"/>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人大代表履职率</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18"/>
                <w:szCs w:val="18"/>
                <w:highlight w:val="none"/>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工作完成及时率</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6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工作站经费</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&lt;=2.50万元</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18"/>
                <w:szCs w:val="18"/>
                <w:highlight w:val="none"/>
                <w:u w:val="none"/>
                <w:lang w:val="en-US" w:eastAsia="zh-CN" w:bidi="ar"/>
              </w:rPr>
            </w:pPr>
          </w:p>
        </w:tc>
        <w:tc>
          <w:tcPr>
            <w:tcW w:w="64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18"/>
                <w:szCs w:val="18"/>
                <w:highlight w:val="none"/>
                <w:u w:val="none"/>
                <w:lang w:val="en-US" w:eastAsia="zh-CN" w:bidi="ar"/>
              </w:rPr>
            </w:pP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人大代表活动经费</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&lt;=4.80万元</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人大代表履职能力提高</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有效提升</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工作站满意度</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&gt;=95%</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满意度赋分</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kern w:val="0"/>
          <w:sz w:val="32"/>
          <w:szCs w:val="32"/>
          <w:highlight w:val="none"/>
        </w:rPr>
      </w:pPr>
      <w:r>
        <w:rPr>
          <w:rFonts w:hint="eastAsia"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eastAsia"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焉耆回族自治县人民代表大会常务委员会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eastAsia" w:ascii="仿宋_GB2312" w:hAnsi="宋体" w:eastAsia="仿宋_GB2312" w:cs="宋体"/>
          <w:kern w:val="0"/>
          <w:sz w:val="32"/>
          <w:szCs w:val="32"/>
          <w:highlight w:val="none"/>
        </w:rPr>
        <w:t xml:space="preserve">                             </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highlight w:val="none"/>
        </w:rPr>
      </w:pPr>
    </w:p>
    <w:p>
      <w:pPr>
        <w:rPr>
          <w:highlight w:val="none"/>
        </w:rPr>
      </w:pPr>
      <w:bookmarkStart w:id="0" w:name="_GoBack"/>
      <w:bookmarkEnd w:id="0"/>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102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0/vzvoAQAA9AMAAA4AAABkcnMvZTJvRG9jLnhtbK1TwYrbMBC9F/oP&#10;QvfGTqA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4UmQIijPDX8aSv490bJcfcz+9JEqLnuMB5x3&#10;xGEWO7To8z/LEMPo6fXZUzMkoTm5XK/W65Lt1nx22zBO8fJ5REpfDHiRg1oiN230Ul3uKU2lt5J8&#10;W4C9dY7zqnLhjwRj5kyRGU8cc5SG4zATP0JzZbkI0xxQ1HvLd94rSgeF3HjmyU8jPfDSOuhrCXMk&#10;RQf481/5XM/94FMpeh6kWgZ+N1K4r4H7lGfuFuAtON4CFTR/WMskxTmiPXUjr6yJ4udzYqGj/qxi&#10;oj6L42EYHZwHN0/b7/ux6uWxb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B0/vzvoAQAA&#10;9AMAAA4AAAAAAAAAAQAgAAAAHwEAAGRycy9lMm9Eb2MueG1sUEsFBgAAAAAGAAYAWQEAAHkFAAAA&#10;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Pp5U9HoAQAA&#10;9AMAAA4AAAAAAAAAAQAgAAAAHwEAAGRycy9lMm9Eb2MueG1sUEsFBgAAAAAGAAYAWQEAAHkFAAAA&#10;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NjIzNDE3NjEwODc4ZDNiY2ZkOGU5MWNkODU2MmQifQ=="/>
  </w:docVars>
  <w:rsids>
    <w:rsidRoot w:val="00000000"/>
    <w:rsid w:val="00203855"/>
    <w:rsid w:val="00571D0E"/>
    <w:rsid w:val="00DB0E7A"/>
    <w:rsid w:val="01187195"/>
    <w:rsid w:val="0146100D"/>
    <w:rsid w:val="01523C18"/>
    <w:rsid w:val="01896476"/>
    <w:rsid w:val="01B80E20"/>
    <w:rsid w:val="025B1CAC"/>
    <w:rsid w:val="03577CD6"/>
    <w:rsid w:val="03F12F9F"/>
    <w:rsid w:val="066B788E"/>
    <w:rsid w:val="06742D7A"/>
    <w:rsid w:val="078F7414"/>
    <w:rsid w:val="0939685D"/>
    <w:rsid w:val="096E3E59"/>
    <w:rsid w:val="098D5F59"/>
    <w:rsid w:val="09BA5EE8"/>
    <w:rsid w:val="09DB0B46"/>
    <w:rsid w:val="0BD44E18"/>
    <w:rsid w:val="0C0C3C9F"/>
    <w:rsid w:val="0CA704B9"/>
    <w:rsid w:val="0CB95942"/>
    <w:rsid w:val="0CD01001"/>
    <w:rsid w:val="0DDB1066"/>
    <w:rsid w:val="0E4B4F89"/>
    <w:rsid w:val="0F4C2AC0"/>
    <w:rsid w:val="105C1B7F"/>
    <w:rsid w:val="10C32716"/>
    <w:rsid w:val="10D17A4C"/>
    <w:rsid w:val="112C05E2"/>
    <w:rsid w:val="115D6111"/>
    <w:rsid w:val="126B6F53"/>
    <w:rsid w:val="12CA1726"/>
    <w:rsid w:val="13FF78AF"/>
    <w:rsid w:val="1404638B"/>
    <w:rsid w:val="14462312"/>
    <w:rsid w:val="159A25E5"/>
    <w:rsid w:val="15A90ADC"/>
    <w:rsid w:val="15E020EE"/>
    <w:rsid w:val="1628142A"/>
    <w:rsid w:val="17452418"/>
    <w:rsid w:val="17491244"/>
    <w:rsid w:val="17551350"/>
    <w:rsid w:val="178402CD"/>
    <w:rsid w:val="18A5191E"/>
    <w:rsid w:val="19291002"/>
    <w:rsid w:val="1A945B2D"/>
    <w:rsid w:val="1ACD7989"/>
    <w:rsid w:val="1B6272BA"/>
    <w:rsid w:val="1BB32562"/>
    <w:rsid w:val="1BBA2B70"/>
    <w:rsid w:val="1BBC66D1"/>
    <w:rsid w:val="1BDB171F"/>
    <w:rsid w:val="1D0E2AE8"/>
    <w:rsid w:val="1DA930A7"/>
    <w:rsid w:val="1DD90033"/>
    <w:rsid w:val="1E061F1B"/>
    <w:rsid w:val="1E18044F"/>
    <w:rsid w:val="1E307E59"/>
    <w:rsid w:val="1E982AAA"/>
    <w:rsid w:val="1F551F86"/>
    <w:rsid w:val="1F794210"/>
    <w:rsid w:val="21041759"/>
    <w:rsid w:val="22131D38"/>
    <w:rsid w:val="224C311A"/>
    <w:rsid w:val="22684799"/>
    <w:rsid w:val="22D150F8"/>
    <w:rsid w:val="22D70212"/>
    <w:rsid w:val="231D471D"/>
    <w:rsid w:val="23222AD1"/>
    <w:rsid w:val="23AC2A34"/>
    <w:rsid w:val="241A582B"/>
    <w:rsid w:val="245312F1"/>
    <w:rsid w:val="248F47A4"/>
    <w:rsid w:val="25484B65"/>
    <w:rsid w:val="256A12B4"/>
    <w:rsid w:val="27A115CB"/>
    <w:rsid w:val="28766675"/>
    <w:rsid w:val="287F37A6"/>
    <w:rsid w:val="28A021F5"/>
    <w:rsid w:val="28F72945"/>
    <w:rsid w:val="2AB606AB"/>
    <w:rsid w:val="2B2D5087"/>
    <w:rsid w:val="2B40332C"/>
    <w:rsid w:val="2C3347D5"/>
    <w:rsid w:val="2C345985"/>
    <w:rsid w:val="2C715F59"/>
    <w:rsid w:val="2C9F1346"/>
    <w:rsid w:val="2CDE72EE"/>
    <w:rsid w:val="2D253432"/>
    <w:rsid w:val="2D990DB5"/>
    <w:rsid w:val="2DD3133C"/>
    <w:rsid w:val="2E561BC1"/>
    <w:rsid w:val="2E717524"/>
    <w:rsid w:val="2ECB2086"/>
    <w:rsid w:val="2F647006"/>
    <w:rsid w:val="2F6D5D61"/>
    <w:rsid w:val="2FA671BF"/>
    <w:rsid w:val="30061807"/>
    <w:rsid w:val="314714E8"/>
    <w:rsid w:val="317450F7"/>
    <w:rsid w:val="323A00EC"/>
    <w:rsid w:val="324876F3"/>
    <w:rsid w:val="32A87F59"/>
    <w:rsid w:val="3309737F"/>
    <w:rsid w:val="336C3372"/>
    <w:rsid w:val="339313C2"/>
    <w:rsid w:val="34557BF7"/>
    <w:rsid w:val="36BD6A30"/>
    <w:rsid w:val="37327093"/>
    <w:rsid w:val="383E25D7"/>
    <w:rsid w:val="38745CD5"/>
    <w:rsid w:val="38EA3007"/>
    <w:rsid w:val="38ED2AFD"/>
    <w:rsid w:val="396F18F1"/>
    <w:rsid w:val="3A2537C5"/>
    <w:rsid w:val="3A3B41F0"/>
    <w:rsid w:val="3AAE2FF9"/>
    <w:rsid w:val="3B515C84"/>
    <w:rsid w:val="3DBA797D"/>
    <w:rsid w:val="3DDC4F6A"/>
    <w:rsid w:val="3E6D360E"/>
    <w:rsid w:val="3E7456C5"/>
    <w:rsid w:val="3F02457B"/>
    <w:rsid w:val="3F373C95"/>
    <w:rsid w:val="3F587220"/>
    <w:rsid w:val="3F6144F5"/>
    <w:rsid w:val="3F6A3206"/>
    <w:rsid w:val="3FBB5C16"/>
    <w:rsid w:val="3FDE77E0"/>
    <w:rsid w:val="3FE954B3"/>
    <w:rsid w:val="40935D4E"/>
    <w:rsid w:val="416E0BFF"/>
    <w:rsid w:val="418B4273"/>
    <w:rsid w:val="41AD023F"/>
    <w:rsid w:val="422C0C2B"/>
    <w:rsid w:val="42886201"/>
    <w:rsid w:val="431B15F5"/>
    <w:rsid w:val="43FA0454"/>
    <w:rsid w:val="44714F44"/>
    <w:rsid w:val="4512445E"/>
    <w:rsid w:val="459F4DA2"/>
    <w:rsid w:val="45A44E93"/>
    <w:rsid w:val="45C93BC8"/>
    <w:rsid w:val="45D95FD6"/>
    <w:rsid w:val="45FF6F93"/>
    <w:rsid w:val="472B0583"/>
    <w:rsid w:val="48553108"/>
    <w:rsid w:val="48D920B3"/>
    <w:rsid w:val="4A2843DB"/>
    <w:rsid w:val="4A2B37BE"/>
    <w:rsid w:val="4A746D01"/>
    <w:rsid w:val="4AEF4ECE"/>
    <w:rsid w:val="4AEF6C59"/>
    <w:rsid w:val="4BCD0219"/>
    <w:rsid w:val="4C022C6A"/>
    <w:rsid w:val="4CA546DD"/>
    <w:rsid w:val="4CF202AA"/>
    <w:rsid w:val="4D383EB8"/>
    <w:rsid w:val="4E6257FB"/>
    <w:rsid w:val="4EA44A63"/>
    <w:rsid w:val="4EE72FC3"/>
    <w:rsid w:val="4EEA2208"/>
    <w:rsid w:val="4F9F3BCD"/>
    <w:rsid w:val="507557FD"/>
    <w:rsid w:val="50DE2C62"/>
    <w:rsid w:val="51705795"/>
    <w:rsid w:val="52344C82"/>
    <w:rsid w:val="52466282"/>
    <w:rsid w:val="52A148AF"/>
    <w:rsid w:val="52F35905"/>
    <w:rsid w:val="531F75AA"/>
    <w:rsid w:val="53471D3A"/>
    <w:rsid w:val="53FB00D6"/>
    <w:rsid w:val="54017D59"/>
    <w:rsid w:val="541B72D8"/>
    <w:rsid w:val="548D1EE4"/>
    <w:rsid w:val="55347AA0"/>
    <w:rsid w:val="56477494"/>
    <w:rsid w:val="581B0D07"/>
    <w:rsid w:val="582A48D2"/>
    <w:rsid w:val="58901638"/>
    <w:rsid w:val="58AC6223"/>
    <w:rsid w:val="58B55F33"/>
    <w:rsid w:val="5AF50835"/>
    <w:rsid w:val="5BB258A0"/>
    <w:rsid w:val="5BDD490D"/>
    <w:rsid w:val="5D46539D"/>
    <w:rsid w:val="5F021BFE"/>
    <w:rsid w:val="5F080586"/>
    <w:rsid w:val="5F8710DE"/>
    <w:rsid w:val="5FDD5BD9"/>
    <w:rsid w:val="5FED0B5B"/>
    <w:rsid w:val="5FF116F8"/>
    <w:rsid w:val="60041811"/>
    <w:rsid w:val="60D169FA"/>
    <w:rsid w:val="60D45BA1"/>
    <w:rsid w:val="61F13AF3"/>
    <w:rsid w:val="61F5337F"/>
    <w:rsid w:val="624F2DCE"/>
    <w:rsid w:val="63BE3C7B"/>
    <w:rsid w:val="642A7BEE"/>
    <w:rsid w:val="64EA6F3F"/>
    <w:rsid w:val="66456118"/>
    <w:rsid w:val="6648424D"/>
    <w:rsid w:val="678203DE"/>
    <w:rsid w:val="68506F05"/>
    <w:rsid w:val="68EA104B"/>
    <w:rsid w:val="69804AE5"/>
    <w:rsid w:val="69FD42B6"/>
    <w:rsid w:val="6A2C1D99"/>
    <w:rsid w:val="6AA24FF3"/>
    <w:rsid w:val="6B3B3339"/>
    <w:rsid w:val="6C273342"/>
    <w:rsid w:val="6C3E0C62"/>
    <w:rsid w:val="6D7C5EBD"/>
    <w:rsid w:val="6DB91130"/>
    <w:rsid w:val="6DFB2561"/>
    <w:rsid w:val="6E277116"/>
    <w:rsid w:val="6F58209E"/>
    <w:rsid w:val="6F990A29"/>
    <w:rsid w:val="6FEB5217"/>
    <w:rsid w:val="719158BE"/>
    <w:rsid w:val="71CC3E75"/>
    <w:rsid w:val="72B07392"/>
    <w:rsid w:val="74AA7AA7"/>
    <w:rsid w:val="74BA5910"/>
    <w:rsid w:val="752C6B42"/>
    <w:rsid w:val="75C572C4"/>
    <w:rsid w:val="75E911C8"/>
    <w:rsid w:val="76261BB6"/>
    <w:rsid w:val="76511F0A"/>
    <w:rsid w:val="76853226"/>
    <w:rsid w:val="76EA5672"/>
    <w:rsid w:val="79A3102B"/>
    <w:rsid w:val="79D65D7B"/>
    <w:rsid w:val="7ABD5D2B"/>
    <w:rsid w:val="7AD63CFE"/>
    <w:rsid w:val="7B393EF8"/>
    <w:rsid w:val="7B6A774C"/>
    <w:rsid w:val="7BEF7AA8"/>
    <w:rsid w:val="7BFB28E4"/>
    <w:rsid w:val="7C09599F"/>
    <w:rsid w:val="7C261AC5"/>
    <w:rsid w:val="7C8541F8"/>
    <w:rsid w:val="7D1035B8"/>
    <w:rsid w:val="7D1A39A8"/>
    <w:rsid w:val="7D5E4089"/>
    <w:rsid w:val="7DBD38CE"/>
    <w:rsid w:val="7DF72BAB"/>
    <w:rsid w:val="7E3B09B3"/>
    <w:rsid w:val="7EB72E75"/>
    <w:rsid w:val="7F254A2D"/>
    <w:rsid w:val="7FC26B3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20f95-3137-4be3-83e1-3269a378c728}">
  <ds:schemaRefs/>
</ds:datastoreItem>
</file>

<file path=customXml/itemProps3.xml><?xml version="1.0" encoding="utf-8"?>
<ds:datastoreItem xmlns:ds="http://schemas.openxmlformats.org/officeDocument/2006/customXml" ds:itemID="{f9ca53b6-9e5b-435f-b97e-2f52b6f74b58}">
  <ds:schemaRefs/>
</ds:datastoreItem>
</file>

<file path=customXml/itemProps4.xml><?xml version="1.0" encoding="utf-8"?>
<ds:datastoreItem xmlns:ds="http://schemas.openxmlformats.org/officeDocument/2006/customXml" ds:itemID="{7592f7b4-d0a9-4a38-b9c3-d4d22d353850}">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1655</Words>
  <Characters>1715</Characters>
  <Lines>0</Lines>
  <Paragraphs>0</Paragraphs>
  <TotalTime>5</TotalTime>
  <ScaleCrop>false</ScaleCrop>
  <LinksUpToDate>false</LinksUpToDate>
  <CharactersWithSpaces>1782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2025-04-07T05:51:00Z</cp:lastPrinted>
  <dcterms:modified xsi:type="dcterms:W3CDTF">2025-04-24T05:51:33Z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eyJoZGlkIjoiYjkxYzgxZWU4ZmQ0Yjg5NTI3MTMzYjRhZGE5NzBlZDQiLCJ1c2VySWQiOiIyODIxNzg1MzgifQ==</vt:lpwstr>
  </property>
  <property fmtid="{D5CDD505-2E9C-101B-9397-08002B2CF9AE}" pid="4" name="ICV">
    <vt:lpwstr>D97DBB5673BA44E4AAF797294EE620B9_12</vt:lpwstr>
  </property>
</Properties>
</file>