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焉耆回族自治县五号渠乡中心学校</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ascii="仿宋_GB2312" w:hAnsi="仿宋_GB2312" w:eastAsia="仿宋_GB2312" w:cs="仿宋_GB2312"/>
          <w:b/>
          <w:kern w:val="0"/>
          <w:sz w:val="32"/>
          <w:szCs w:val="32"/>
        </w:rPr>
      </w:pP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一、关于焉耆回族自治县五号渠乡中心学校2025年收支预算情况的总体说明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二、关于焉耆回族自治县五号渠乡中心学校2025年收入预算情况说明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三、关于焉耆回族自治县五号渠乡中心学校2025年支出预算情况说明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四、关于焉耆回族自治县五号渠乡中心学校2025年财政拨款收支预算情况的总体说明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五、关于焉耆回族自治县五号渠乡中心学校2025年一般公共预算当年拨款情况说明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六、关于焉耆回族自治县五号渠乡中心学校2025年一般公共预算基本支出情况说明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七、关于焉耆回族自治县五号渠乡中心学校2025年一般公共预算项目支出情况说明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八、关于焉耆回族自治县五号渠乡中心学校2025年政府性基金预算拨款情况说明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九、关于焉耆回族自治县五号渠乡中心学校2025年国有资本经营预算拨款情况说明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十、关于焉耆回族自治县五号渠乡中心学校2025年财政拨款“三公”经费预算情况说明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十一、关于焉耆回族自治县五号渠乡中心学校2025年上年结转结余预算情况说明</w:t>
      </w:r>
    </w:p>
    <w:p>
      <w:pPr>
        <w:widowControl/>
        <w:spacing w:line="540" w:lineRule="exact"/>
        <w:ind w:firstLine="640" w:firstLineChars="200"/>
        <w:jc w:val="left"/>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ascii="仿宋_GB2312" w:hAnsi="仿宋_GB2312" w:eastAsia="仿宋_GB2312" w:cs="仿宋_GB2312"/>
          <w:b/>
          <w:kern w:val="0"/>
          <w:sz w:val="32"/>
          <w:szCs w:val="32"/>
        </w:rPr>
      </w:pPr>
      <w:r>
        <w:br w:type="page"/>
      </w: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1.全面贯彻落实党和国家方针、政策、法律、法规，按照国家教育教学标准，不断提高教学质量。 </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2.制定学校发展规划和学年、学期工作计划，并组织实施。建立、健全安全制度和应急机制，消除安全隐患。</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3.负责执行国家规定的课程计划和教学大纲。遵循教学规律组织教学，积极开展教学改革，建立和完善教学管理制度，搞好教学常规管理，努力提高教学质量。</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4.组织教职工政治学习，教育理论和专业文化知识学习，开展教职工业务培训，优化教师队伍结构、提高教职工综合素质。</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5.发挥学校教育的主导作用，努力促进学校教育、家庭教育、社会教育的协调一致，形成“三结合”教育网络。培养学生在德、智、体、美等方面的全面发展。</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6.搞好校园文化建设，优化育人环境，抓好学校治安保卫工作，维护学校和教职工的合法权益。</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7.遵照国家有关规定收取费用并公开收费项目。依法管理和使用学校设施和经费。</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8.完成主管部门交办的其他工作。</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焉耆回族自治县五号渠乡中心学校无下属预算单位，下设6个处室，分别是：党政办、教研处、德育处、总务处、幼儿园</w:t>
      </w:r>
      <w:r>
        <w:rPr>
          <w:rFonts w:hint="eastAsia" w:ascii="仿宋_GB2312" w:hAnsi="黑体" w:eastAsia="仿宋_GB2312" w:cs="宋体"/>
          <w:bCs/>
          <w:kern w:val="0"/>
          <w:sz w:val="32"/>
          <w:szCs w:val="32"/>
          <w:lang w:eastAsia="zh-CN"/>
        </w:rPr>
        <w:t>、</w:t>
      </w:r>
      <w:r>
        <w:rPr>
          <w:rFonts w:hint="eastAsia" w:ascii="仿宋_GB2312" w:hAnsi="黑体" w:eastAsia="仿宋_GB2312" w:cs="宋体"/>
          <w:bCs/>
          <w:kern w:val="0"/>
          <w:sz w:val="32"/>
          <w:szCs w:val="32"/>
        </w:rPr>
        <w:t>查汗渠教学点处。</w:t>
      </w:r>
    </w:p>
    <w:p>
      <w:pPr>
        <w:widowControl/>
        <w:spacing w:line="54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焉耆回族自治县五号渠乡中心学校编制数100，实有人数154人，其中：在职91人，减少5人；退休63人，增加5人；离休0人，减少0人。</w:t>
      </w:r>
    </w:p>
    <w:p>
      <w:pPr>
        <w:widowControl/>
        <w:spacing w:line="440" w:lineRule="exact"/>
        <w:jc w:val="center"/>
        <w:outlineLvl w:val="1"/>
        <w:rPr>
          <w:rFonts w:ascii="黑体" w:hAnsi="黑体" w:eastAsia="黑体"/>
          <w:kern w:val="0"/>
          <w:sz w:val="32"/>
          <w:szCs w:val="32"/>
        </w:rPr>
      </w:pPr>
      <w:r>
        <w:br w:type="page"/>
      </w:r>
      <w:r>
        <w:rPr>
          <w:rFonts w:hint="eastAsia" w:ascii="黑体" w:hAnsi="黑体" w:eastAsia="黑体"/>
          <w:kern w:val="0"/>
          <w:sz w:val="32"/>
          <w:szCs w:val="32"/>
        </w:rPr>
        <w:t>第二部分 2025年单位预算公开表</w:t>
      </w:r>
    </w:p>
    <w:p>
      <w:pPr>
        <w:widowControl/>
        <w:spacing w:line="240" w:lineRule="exact"/>
        <w:jc w:val="left"/>
        <w:textAlignment w:val="bottom"/>
        <w:rPr>
          <w:rFonts w:ascii="宋体" w:hAnsi="宋体" w:cs="宋体"/>
          <w:kern w:val="0"/>
          <w:sz w:val="20"/>
          <w:szCs w:val="20"/>
          <w:lang w:bidi="ar"/>
        </w:rPr>
      </w:pPr>
      <w:r>
        <w:rPr>
          <w:rFonts w:hint="eastAsia" w:ascii="宋体" w:hAnsi="宋体" w:cs="宋体"/>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cs="宋体"/>
          <w:kern w:val="0"/>
          <w:sz w:val="22"/>
          <w:szCs w:val="22"/>
        </w:rPr>
        <w:t>焉耆回族自治县五渠乡中心校</w:t>
      </w:r>
      <w:r>
        <w:rPr>
          <w:rFonts w:hint="eastAsia" w:ascii="仿宋_GB2312" w:hAnsi="宋体" w:eastAsia="仿宋_GB2312" w:cs="宋体"/>
          <w:kern w:val="0"/>
          <w:sz w:val="22"/>
          <w:szCs w:val="22"/>
          <w:lang w:eastAsia="zh-CN"/>
        </w:rPr>
        <w:t>学校</w:t>
      </w:r>
      <w:r>
        <w:rPr>
          <w:rFonts w:hint="eastAsia" w:ascii="仿宋_GB2312" w:hAnsi="宋体" w:eastAsia="仿宋_GB2312"/>
          <w:kern w:val="0"/>
          <w:sz w:val="13"/>
          <w:szCs w:val="13"/>
        </w:rPr>
        <w:t xml:space="preserve">  </w:t>
      </w:r>
      <w:r>
        <w:rPr>
          <w:rFonts w:hint="eastAsia" w:ascii="仿宋_GB2312" w:hAnsi="宋体" w:eastAsia="仿宋_GB2312"/>
          <w:kern w:val="0"/>
          <w:sz w:val="24"/>
        </w:rPr>
        <w:t xml:space="preserve">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1584.38</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2.政府性基金预算拨款</w:t>
            </w:r>
            <w:r>
              <w:rPr>
                <w:rFonts w:hint="default" w:ascii="Times New Roman" w:hAnsi="Times New Roman" w:eastAsia="仿宋_GB2312" w:cs="Times New Roman"/>
                <w:kern w:val="0"/>
                <w:sz w:val="18"/>
                <w:szCs w:val="18"/>
              </w:rPr>
              <w:tab/>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20"/>
                <w:szCs w:val="20"/>
                <w:lang w:bidi="ar"/>
              </w:rPr>
              <w:t>1584.38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其中：国有资本经营收入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4.财政专户核拨</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5.单位资金</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30.58</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其中：事业收入</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上级补助收入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附属单位上缴收入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w:t>
            </w:r>
            <w:r>
              <w:rPr>
                <w:rFonts w:hint="default" w:ascii="Times New Roman" w:hAnsi="Times New Roman" w:eastAsia="仿宋_GB2312" w:cs="Times New Roman"/>
                <w:kern w:val="0"/>
                <w:sz w:val="18"/>
                <w:szCs w:val="18"/>
                <w:lang w:eastAsia="zh-Hans"/>
              </w:rPr>
              <w:t>工业</w:t>
            </w:r>
            <w:r>
              <w:rPr>
                <w:rFonts w:hint="default" w:ascii="Times New Roman" w:hAnsi="Times New Roman" w:eastAsia="仿宋_GB2312" w:cs="Times New Roman"/>
                <w:kern w:val="0"/>
                <w:sz w:val="18"/>
                <w:szCs w:val="18"/>
              </w:rPr>
              <w:t>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事业单位经营收入</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30.58</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二、上年结转结余</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1.财政拨款结转</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其中：一般公共预算拨款</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政府性基金预算拨款</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国有资本经营预算拨款</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2.非财政拨款结余</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其中：财政专户核拨</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单位资金</w:t>
            </w:r>
          </w:p>
        </w:tc>
        <w:tc>
          <w:tcPr>
            <w:tcW w:w="110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5"/>
                <w:szCs w:val="15"/>
              </w:rPr>
            </w:pPr>
            <w:r>
              <w:rPr>
                <w:rFonts w:hint="default" w:ascii="Times New Roman" w:hAnsi="Times New Roman" w:eastAsia="仿宋_GB2312" w:cs="Times New Roman"/>
                <w:kern w:val="0"/>
                <w:sz w:val="18"/>
                <w:szCs w:val="18"/>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val="0"/>
                <w:bCs w:val="0"/>
                <w:kern w:val="0"/>
                <w:sz w:val="20"/>
                <w:szCs w:val="20"/>
              </w:rPr>
              <w:t>1584.38</w:t>
            </w:r>
          </w:p>
        </w:tc>
        <w:tc>
          <w:tcPr>
            <w:tcW w:w="2693"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val="0"/>
                <w:bCs w:val="0"/>
                <w:kern w:val="0"/>
                <w:sz w:val="18"/>
                <w:szCs w:val="18"/>
              </w:rPr>
              <w:t>1584.38</w:t>
            </w:r>
          </w:p>
        </w:tc>
      </w:tr>
    </w:tbl>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表2</w:t>
      </w:r>
    </w:p>
    <w:p>
      <w:pPr>
        <w:widowControl/>
        <w:spacing w:line="44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单位收入总体情况表</w:t>
      </w:r>
    </w:p>
    <w:p>
      <w:pPr>
        <w:widowControl/>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 </w:t>
      </w:r>
      <w:r>
        <w:rPr>
          <w:rFonts w:hint="default" w:ascii="Times New Roman" w:hAnsi="Times New Roman" w:eastAsia="仿宋_GB2312" w:cs="Times New Roman"/>
          <w:kern w:val="0"/>
          <w:sz w:val="24"/>
          <w:szCs w:val="24"/>
        </w:rPr>
        <w:t xml:space="preserve">焉耆回族自治县五渠乡中心学校 </w:t>
      </w:r>
      <w:r>
        <w:rPr>
          <w:rFonts w:hint="default" w:ascii="Times New Roman" w:hAnsi="Times New Roman" w:eastAsia="仿宋_GB2312" w:cs="Times New Roman"/>
          <w:kern w:val="0"/>
          <w:sz w:val="13"/>
          <w:szCs w:val="13"/>
        </w:rPr>
        <w:t xml:space="preserve">  </w:t>
      </w:r>
      <w:r>
        <w:rPr>
          <w:rFonts w:hint="default" w:ascii="Times New Roman" w:hAnsi="Times New Roman" w:eastAsia="仿宋_GB2312" w:cs="Times New Roman"/>
          <w:kern w:val="0"/>
          <w:sz w:val="24"/>
        </w:rPr>
        <w:t xml:space="preserve">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单位：万元</w:t>
      </w:r>
    </w:p>
    <w:tbl>
      <w:tblPr>
        <w:tblStyle w:val="10"/>
        <w:tblW w:w="10404" w:type="dxa"/>
        <w:tblInd w:w="-450" w:type="dxa"/>
        <w:tblLayout w:type="fixed"/>
        <w:tblCellMar>
          <w:top w:w="0" w:type="dxa"/>
          <w:left w:w="108" w:type="dxa"/>
          <w:bottom w:w="0" w:type="dxa"/>
          <w:right w:w="108" w:type="dxa"/>
        </w:tblCellMar>
      </w:tblPr>
      <w:tblGrid>
        <w:gridCol w:w="519"/>
        <w:gridCol w:w="417"/>
        <w:gridCol w:w="533"/>
        <w:gridCol w:w="718"/>
        <w:gridCol w:w="973"/>
        <w:gridCol w:w="894"/>
        <w:gridCol w:w="1000"/>
        <w:gridCol w:w="706"/>
        <w:gridCol w:w="399"/>
        <w:gridCol w:w="668"/>
        <w:gridCol w:w="480"/>
        <w:gridCol w:w="693"/>
        <w:gridCol w:w="469"/>
        <w:gridCol w:w="795"/>
        <w:gridCol w:w="705"/>
        <w:gridCol w:w="435"/>
      </w:tblGrid>
      <w:tr>
        <w:tblPrEx>
          <w:tblCellMar>
            <w:top w:w="0" w:type="dxa"/>
            <w:left w:w="108" w:type="dxa"/>
            <w:bottom w:w="0" w:type="dxa"/>
            <w:right w:w="108" w:type="dxa"/>
          </w:tblCellMar>
        </w:tblPrEx>
        <w:trPr>
          <w:trHeight w:val="697" w:hRule="atLeast"/>
        </w:trPr>
        <w:tc>
          <w:tcPr>
            <w:tcW w:w="14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4"/>
              </w:rPr>
              <w:t>功能分类科目编码</w:t>
            </w:r>
          </w:p>
        </w:tc>
        <w:tc>
          <w:tcPr>
            <w:tcW w:w="7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功能分类科目名称</w:t>
            </w:r>
          </w:p>
        </w:tc>
        <w:tc>
          <w:tcPr>
            <w:tcW w:w="97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总  计</w:t>
            </w:r>
          </w:p>
        </w:tc>
        <w:tc>
          <w:tcPr>
            <w:tcW w:w="484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4"/>
              </w:rPr>
              <w:t>财  政  拨  款  (  补  助  )</w:t>
            </w:r>
          </w:p>
        </w:tc>
        <w:tc>
          <w:tcPr>
            <w:tcW w:w="46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财政专户（教育收费）</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单位资金</w:t>
            </w:r>
          </w:p>
        </w:tc>
        <w:tc>
          <w:tcPr>
            <w:tcW w:w="70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财政拨款结转</w:t>
            </w:r>
          </w:p>
        </w:tc>
        <w:tc>
          <w:tcPr>
            <w:tcW w:w="43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非财政拨款结转结余</w:t>
            </w:r>
          </w:p>
        </w:tc>
      </w:tr>
      <w:tr>
        <w:tblPrEx>
          <w:tblCellMar>
            <w:top w:w="0" w:type="dxa"/>
            <w:left w:w="108" w:type="dxa"/>
            <w:bottom w:w="0" w:type="dxa"/>
            <w:right w:w="108" w:type="dxa"/>
          </w:tblCellMar>
        </w:tblPrEx>
        <w:trPr>
          <w:trHeight w:val="2394" w:hRule="atLeast"/>
        </w:trPr>
        <w:tc>
          <w:tcPr>
            <w:tcW w:w="519" w:type="dxa"/>
            <w:tcBorders>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lang w:eastAsia="zh-Hans"/>
              </w:rPr>
            </w:pPr>
            <w:r>
              <w:rPr>
                <w:rFonts w:hint="default" w:ascii="Times New Roman" w:hAnsi="Times New Roman" w:eastAsia="仿宋_GB2312" w:cs="Times New Roman"/>
                <w:b/>
                <w:sz w:val="20"/>
                <w:szCs w:val="20"/>
                <w:lang w:eastAsia="zh-Hans"/>
              </w:rPr>
              <w:t>类</w:t>
            </w:r>
          </w:p>
        </w:tc>
        <w:tc>
          <w:tcPr>
            <w:tcW w:w="417"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lang w:eastAsia="zh-Hans"/>
              </w:rPr>
            </w:pPr>
            <w:r>
              <w:rPr>
                <w:rFonts w:hint="default" w:ascii="Times New Roman" w:hAnsi="Times New Roman" w:eastAsia="仿宋_GB2312" w:cs="Times New Roman"/>
                <w:b/>
                <w:sz w:val="20"/>
                <w:szCs w:val="20"/>
                <w:lang w:eastAsia="zh-Hans"/>
              </w:rPr>
              <w:t>款</w:t>
            </w:r>
          </w:p>
        </w:tc>
        <w:tc>
          <w:tcPr>
            <w:tcW w:w="533"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lang w:eastAsia="zh-Hans"/>
              </w:rPr>
            </w:pPr>
            <w:r>
              <w:rPr>
                <w:rFonts w:hint="default" w:ascii="Times New Roman" w:hAnsi="Times New Roman" w:eastAsia="仿宋_GB2312" w:cs="Times New Roman"/>
                <w:b/>
                <w:sz w:val="20"/>
                <w:szCs w:val="20"/>
                <w:lang w:eastAsia="zh-Hans"/>
              </w:rPr>
              <w:t>项</w:t>
            </w:r>
          </w:p>
        </w:tc>
        <w:tc>
          <w:tcPr>
            <w:tcW w:w="718"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973"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894"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财政拨款(补助)小计</w:t>
            </w:r>
          </w:p>
        </w:tc>
        <w:tc>
          <w:tcPr>
            <w:tcW w:w="100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一般公共预算</w:t>
            </w:r>
          </w:p>
        </w:tc>
        <w:tc>
          <w:tcPr>
            <w:tcW w:w="706"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上级一般公共预算安排的转移支付</w:t>
            </w:r>
          </w:p>
        </w:tc>
        <w:tc>
          <w:tcPr>
            <w:tcW w:w="399"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政府性基金预算</w:t>
            </w:r>
          </w:p>
        </w:tc>
        <w:tc>
          <w:tcPr>
            <w:tcW w:w="668"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上级政府性基金安排的转移支付</w:t>
            </w:r>
          </w:p>
        </w:tc>
        <w:tc>
          <w:tcPr>
            <w:tcW w:w="48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国有资本经营预算</w:t>
            </w:r>
          </w:p>
        </w:tc>
        <w:tc>
          <w:tcPr>
            <w:tcW w:w="693"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上级国有资本经营预算安排的转移支付</w:t>
            </w:r>
          </w:p>
        </w:tc>
        <w:tc>
          <w:tcPr>
            <w:tcW w:w="469"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795"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705"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435"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　</w:t>
            </w:r>
          </w:p>
        </w:tc>
        <w:tc>
          <w:tcPr>
            <w:tcW w:w="41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c>
          <w:tcPr>
            <w:tcW w:w="53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教育支出</w:t>
            </w:r>
          </w:p>
        </w:tc>
        <w:tc>
          <w:tcPr>
            <w:tcW w:w="97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1584.38</w:t>
            </w:r>
          </w:p>
        </w:tc>
        <w:tc>
          <w:tcPr>
            <w:tcW w:w="894"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1000"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706"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668"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480"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693"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469"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shd w:val="clear" w:color="000000" w:fill="FFFFFF"/>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30.58</w:t>
            </w:r>
          </w:p>
        </w:tc>
        <w:tc>
          <w:tcPr>
            <w:tcW w:w="705"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eastAsia" w:eastAsia="仿宋_GB2312" w:cs="Times New Roman"/>
                <w:sz w:val="20"/>
                <w:szCs w:val="20"/>
                <w:lang w:val="en-US" w:eastAsia="zh-CN"/>
              </w:rPr>
              <w:t>205</w:t>
            </w: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普通教育</w:t>
            </w:r>
          </w:p>
        </w:tc>
        <w:tc>
          <w:tcPr>
            <w:tcW w:w="97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1584.38</w:t>
            </w:r>
          </w:p>
        </w:tc>
        <w:tc>
          <w:tcPr>
            <w:tcW w:w="894"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30.58</w:t>
            </w: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eastAsia" w:eastAsia="仿宋_GB2312" w:cs="Times New Roman"/>
                <w:sz w:val="20"/>
                <w:szCs w:val="20"/>
                <w:lang w:val="en-US" w:eastAsia="zh-CN"/>
              </w:rPr>
              <w:t>205</w:t>
            </w: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eastAsia" w:eastAsia="仿宋_GB2312" w:cs="Times New Roman"/>
                <w:sz w:val="20"/>
                <w:szCs w:val="20"/>
                <w:lang w:val="en-US" w:eastAsia="zh-CN"/>
              </w:rPr>
              <w:t>02</w:t>
            </w: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　</w:t>
            </w:r>
          </w:p>
        </w:tc>
        <w:tc>
          <w:tcPr>
            <w:tcW w:w="71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小学教育</w:t>
            </w:r>
          </w:p>
        </w:tc>
        <w:tc>
          <w:tcPr>
            <w:tcW w:w="97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1584.38</w:t>
            </w:r>
          </w:p>
        </w:tc>
        <w:tc>
          <w:tcPr>
            <w:tcW w:w="894"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30.58</w:t>
            </w: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7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3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7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  计　</w:t>
            </w:r>
          </w:p>
        </w:tc>
        <w:tc>
          <w:tcPr>
            <w:tcW w:w="97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1584.38</w:t>
            </w:r>
          </w:p>
        </w:tc>
        <w:tc>
          <w:tcPr>
            <w:tcW w:w="894"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1553.80</w:t>
            </w:r>
          </w:p>
        </w:tc>
        <w:tc>
          <w:tcPr>
            <w:tcW w:w="70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68"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6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6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795"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30.58</w:t>
            </w:r>
          </w:p>
        </w:tc>
        <w:tc>
          <w:tcPr>
            <w:tcW w:w="70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35"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bl>
    <w:p>
      <w:pPr>
        <w:widowControl/>
        <w:jc w:val="left"/>
        <w:textAlignment w:val="bottom"/>
        <w:rPr>
          <w:rFonts w:hint="default" w:ascii="Times New Roman" w:hAnsi="Times New Roman" w:eastAsia="仿宋_GB2312"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表3</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单位支出总体情况表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40"/>
          <w:szCs w:val="40"/>
        </w:rPr>
        <w:t xml:space="preserve"> </w:t>
      </w:r>
      <w:r>
        <w:rPr>
          <w:rFonts w:hint="default" w:ascii="Times New Roman" w:hAnsi="Times New Roman" w:eastAsia="仿宋_GB2312" w:cs="Times New Roman"/>
          <w:kern w:val="0"/>
          <w:sz w:val="24"/>
          <w:szCs w:val="24"/>
        </w:rPr>
        <w:t xml:space="preserve">焉耆回族自治县五渠乡中心学校  </w:t>
      </w:r>
      <w:r>
        <w:rPr>
          <w:rFonts w:hint="default" w:ascii="Times New Roman" w:hAnsi="Times New Roman" w:eastAsia="仿宋_GB2312" w:cs="Times New Roman"/>
          <w:kern w:val="0"/>
          <w:sz w:val="13"/>
          <w:szCs w:val="13"/>
        </w:rPr>
        <w:t xml:space="preserve"> </w:t>
      </w:r>
      <w:r>
        <w:rPr>
          <w:rFonts w:hint="default" w:ascii="Times New Roman" w:hAnsi="Times New Roman" w:eastAsia="仿宋_GB2312" w:cs="Times New Roman"/>
          <w:kern w:val="0"/>
          <w:sz w:val="24"/>
        </w:rPr>
        <w:t xml:space="preserve">        </w:t>
      </w:r>
      <w:r>
        <w:rPr>
          <w:rFonts w:hint="eastAsia"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单位：万元</w:t>
      </w:r>
    </w:p>
    <w:tbl>
      <w:tblPr>
        <w:tblStyle w:val="10"/>
        <w:tblW w:w="9420" w:type="dxa"/>
        <w:tblInd w:w="-240" w:type="dxa"/>
        <w:tblLayout w:type="fixed"/>
        <w:tblCellMar>
          <w:top w:w="0" w:type="dxa"/>
          <w:left w:w="108" w:type="dxa"/>
          <w:bottom w:w="0" w:type="dxa"/>
          <w:right w:w="108" w:type="dxa"/>
        </w:tblCellMar>
      </w:tblPr>
      <w:tblGrid>
        <w:gridCol w:w="533"/>
        <w:gridCol w:w="428"/>
        <w:gridCol w:w="428"/>
        <w:gridCol w:w="2530"/>
        <w:gridCol w:w="1819"/>
        <w:gridCol w:w="1820"/>
        <w:gridCol w:w="1862"/>
      </w:tblGrid>
      <w:tr>
        <w:tblPrEx>
          <w:tblCellMar>
            <w:top w:w="0" w:type="dxa"/>
            <w:left w:w="108" w:type="dxa"/>
            <w:bottom w:w="0" w:type="dxa"/>
            <w:right w:w="108" w:type="dxa"/>
          </w:tblCellMar>
        </w:tblPrEx>
        <w:trPr>
          <w:trHeight w:val="328" w:hRule="atLeast"/>
        </w:trPr>
        <w:tc>
          <w:tcPr>
            <w:tcW w:w="3919"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501"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53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81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2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8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53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1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color w:val="000000"/>
                <w:kern w:val="0"/>
                <w:sz w:val="20"/>
                <w:szCs w:val="20"/>
                <w:lang w:bidi="ar"/>
              </w:rPr>
              <w:t>205</w:t>
            </w:r>
          </w:p>
        </w:tc>
        <w:tc>
          <w:tcPr>
            <w:tcW w:w="428"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p>
        </w:tc>
        <w:tc>
          <w:tcPr>
            <w:tcW w:w="428"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p>
        </w:tc>
        <w:tc>
          <w:tcPr>
            <w:tcW w:w="2530"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color w:val="000000"/>
                <w:kern w:val="0"/>
                <w:sz w:val="20"/>
                <w:szCs w:val="20"/>
                <w:lang w:bidi="ar"/>
              </w:rPr>
              <w:t>教育支出</w:t>
            </w:r>
          </w:p>
        </w:tc>
        <w:tc>
          <w:tcPr>
            <w:tcW w:w="181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1584.38</w:t>
            </w:r>
          </w:p>
        </w:tc>
        <w:tc>
          <w:tcPr>
            <w:tcW w:w="182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1584.38</w:t>
            </w:r>
          </w:p>
        </w:tc>
        <w:tc>
          <w:tcPr>
            <w:tcW w:w="186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color w:val="000000"/>
                <w:kern w:val="0"/>
                <w:sz w:val="20"/>
                <w:szCs w:val="20"/>
                <w:lang w:bidi="ar"/>
              </w:rPr>
              <w:t>205</w:t>
            </w:r>
          </w:p>
        </w:tc>
        <w:tc>
          <w:tcPr>
            <w:tcW w:w="428"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color w:val="000000"/>
                <w:kern w:val="0"/>
                <w:sz w:val="20"/>
                <w:szCs w:val="20"/>
                <w:lang w:bidi="ar"/>
              </w:rPr>
              <w:t>02</w:t>
            </w:r>
          </w:p>
        </w:tc>
        <w:tc>
          <w:tcPr>
            <w:tcW w:w="428"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p>
        </w:tc>
        <w:tc>
          <w:tcPr>
            <w:tcW w:w="2530"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color w:val="000000"/>
                <w:kern w:val="0"/>
                <w:sz w:val="20"/>
                <w:szCs w:val="20"/>
                <w:lang w:bidi="ar"/>
              </w:rPr>
              <w:t>普通教育</w:t>
            </w:r>
          </w:p>
        </w:tc>
        <w:tc>
          <w:tcPr>
            <w:tcW w:w="181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1584.38</w:t>
            </w:r>
          </w:p>
        </w:tc>
        <w:tc>
          <w:tcPr>
            <w:tcW w:w="182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1584.38</w:t>
            </w:r>
          </w:p>
        </w:tc>
        <w:tc>
          <w:tcPr>
            <w:tcW w:w="186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color w:val="000000"/>
                <w:kern w:val="0"/>
                <w:sz w:val="20"/>
                <w:szCs w:val="20"/>
                <w:lang w:bidi="ar"/>
              </w:rPr>
              <w:t>205</w:t>
            </w:r>
          </w:p>
        </w:tc>
        <w:tc>
          <w:tcPr>
            <w:tcW w:w="428"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color w:val="000000"/>
                <w:kern w:val="0"/>
                <w:sz w:val="20"/>
                <w:szCs w:val="20"/>
                <w:lang w:bidi="ar"/>
              </w:rPr>
              <w:t>02</w:t>
            </w:r>
          </w:p>
        </w:tc>
        <w:tc>
          <w:tcPr>
            <w:tcW w:w="428"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color w:val="000000"/>
                <w:kern w:val="0"/>
                <w:sz w:val="20"/>
                <w:szCs w:val="20"/>
                <w:lang w:bidi="ar"/>
              </w:rPr>
              <w:t>02</w:t>
            </w:r>
          </w:p>
        </w:tc>
        <w:tc>
          <w:tcPr>
            <w:tcW w:w="2530" w:type="dxa"/>
            <w:tcBorders>
              <w:top w:val="nil"/>
              <w:left w:val="nil"/>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color w:val="000000"/>
                <w:kern w:val="0"/>
                <w:sz w:val="20"/>
                <w:szCs w:val="20"/>
                <w:lang w:bidi="ar"/>
              </w:rPr>
              <w:t>小学教育</w:t>
            </w:r>
          </w:p>
        </w:tc>
        <w:tc>
          <w:tcPr>
            <w:tcW w:w="181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1584.38</w:t>
            </w:r>
          </w:p>
        </w:tc>
        <w:tc>
          <w:tcPr>
            <w:tcW w:w="182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1584.38</w:t>
            </w:r>
          </w:p>
        </w:tc>
        <w:tc>
          <w:tcPr>
            <w:tcW w:w="186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16"/>
                <w:szCs w:val="16"/>
              </w:rPr>
            </w:pPr>
            <w:r>
              <w:rPr>
                <w:rFonts w:hint="default" w:ascii="Times New Roman" w:hAnsi="Times New Roman" w:cs="Times New Roman"/>
                <w:b/>
                <w:bCs/>
                <w:kern w:val="0"/>
                <w:sz w:val="16"/>
                <w:szCs w:val="16"/>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19"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2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c>
          <w:tcPr>
            <w:tcW w:w="186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28"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28"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2530"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19"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20"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862"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42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42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53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2"/>
                <w:szCs w:val="22"/>
              </w:rPr>
            </w:pPr>
            <w:r>
              <w:rPr>
                <w:rFonts w:hint="default" w:ascii="Times New Roman" w:hAnsi="Times New Roman" w:eastAsia="仿宋_GB2312" w:cs="Times New Roman"/>
                <w:b/>
                <w:bCs/>
                <w:kern w:val="0"/>
                <w:sz w:val="20"/>
                <w:szCs w:val="20"/>
              </w:rPr>
              <w:t>合  计</w:t>
            </w:r>
          </w:p>
        </w:tc>
        <w:tc>
          <w:tcPr>
            <w:tcW w:w="181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1584.38</w:t>
            </w:r>
          </w:p>
        </w:tc>
        <w:tc>
          <w:tcPr>
            <w:tcW w:w="182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1584.38</w:t>
            </w:r>
          </w:p>
        </w:tc>
        <w:tc>
          <w:tcPr>
            <w:tcW w:w="186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r>
    </w:tbl>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表4</w:t>
      </w:r>
    </w:p>
    <w:p>
      <w:pPr>
        <w:widowControl/>
        <w:spacing w:before="156" w:beforeLines="50" w:line="280" w:lineRule="exact"/>
        <w:jc w:val="center"/>
        <w:outlineLvl w:val="1"/>
        <w:rPr>
          <w:rFonts w:hint="default" w:ascii="Times New Roman" w:hAnsi="Times New Roman" w:eastAsia="仿宋_GB2312" w:cs="Times New Roman"/>
          <w:b/>
          <w:kern w:val="0"/>
          <w:sz w:val="32"/>
          <w:szCs w:val="32"/>
        </w:rPr>
      </w:pPr>
      <w:r>
        <w:rPr>
          <w:rFonts w:hint="eastAsia" w:eastAsia="仿宋_GB2312" w:cs="Times New Roman"/>
          <w:b/>
          <w:kern w:val="0"/>
          <w:sz w:val="32"/>
          <w:szCs w:val="32"/>
          <w:lang w:val="en-US" w:eastAsia="zh-CN"/>
        </w:rPr>
        <w:t xml:space="preserve">        </w:t>
      </w:r>
      <w:r>
        <w:rPr>
          <w:rFonts w:hint="default" w:ascii="Times New Roman" w:hAnsi="Times New Roman" w:eastAsia="仿宋_GB2312" w:cs="Times New Roman"/>
          <w:b/>
          <w:kern w:val="0"/>
          <w:sz w:val="32"/>
          <w:szCs w:val="32"/>
        </w:rPr>
        <w:t>财政拨款收支预算总体情况表</w:t>
      </w:r>
    </w:p>
    <w:p>
      <w:pPr>
        <w:widowControl/>
        <w:spacing w:before="156" w:beforeLines="50" w:line="280" w:lineRule="exact"/>
        <w:jc w:val="both"/>
        <w:outlineLvl w:val="1"/>
        <w:rPr>
          <w:rFonts w:hint="eastAsia" w:ascii="Times New Roman" w:hAnsi="Times New Roman" w:eastAsia="仿宋_GB2312" w:cs="Times New Roman"/>
          <w:kern w:val="0"/>
          <w:sz w:val="13"/>
          <w:szCs w:val="13"/>
          <w:lang w:val="en-US" w:eastAsia="zh-CN"/>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szCs w:val="24"/>
        </w:rPr>
        <w:t xml:space="preserve">焉耆回族自治县五渠乡中心学校   </w:t>
      </w:r>
      <w:r>
        <w:rPr>
          <w:rFonts w:hint="eastAsia" w:eastAsia="仿宋_GB2312" w:cs="Times New Roman"/>
          <w:kern w:val="0"/>
          <w:sz w:val="24"/>
          <w:szCs w:val="24"/>
          <w:lang w:val="en-US" w:eastAsia="zh-CN"/>
        </w:rPr>
        <w:t xml:space="preserve">               单位：万元</w:t>
      </w:r>
    </w:p>
    <w:tbl>
      <w:tblPr>
        <w:tblStyle w:val="10"/>
        <w:tblW w:w="10040" w:type="dxa"/>
        <w:tblInd w:w="-709" w:type="dxa"/>
        <w:tblLayout w:type="fixed"/>
        <w:tblCellMar>
          <w:top w:w="0" w:type="dxa"/>
          <w:left w:w="108" w:type="dxa"/>
          <w:bottom w:w="0" w:type="dxa"/>
          <w:right w:w="108" w:type="dxa"/>
        </w:tblCellMar>
      </w:tblPr>
      <w:tblGrid>
        <w:gridCol w:w="2174"/>
        <w:gridCol w:w="946"/>
        <w:gridCol w:w="2854"/>
        <w:gridCol w:w="1013"/>
        <w:gridCol w:w="1000"/>
        <w:gridCol w:w="920"/>
        <w:gridCol w:w="1133"/>
      </w:tblGrid>
      <w:tr>
        <w:tblPrEx>
          <w:tblCellMar>
            <w:top w:w="0" w:type="dxa"/>
            <w:left w:w="108" w:type="dxa"/>
            <w:bottom w:w="0" w:type="dxa"/>
            <w:right w:w="108" w:type="dxa"/>
          </w:tblCellMar>
        </w:tblPrEx>
        <w:trPr>
          <w:trHeight w:val="285" w:hRule="atLeast"/>
        </w:trPr>
        <w:tc>
          <w:tcPr>
            <w:tcW w:w="312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财政拨款收入</w:t>
            </w:r>
          </w:p>
        </w:tc>
        <w:tc>
          <w:tcPr>
            <w:tcW w:w="6920"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财政拨款支出</w:t>
            </w:r>
          </w:p>
        </w:tc>
      </w:tr>
      <w:tr>
        <w:tblPrEx>
          <w:tblCellMar>
            <w:top w:w="0" w:type="dxa"/>
            <w:left w:w="108" w:type="dxa"/>
            <w:bottom w:w="0" w:type="dxa"/>
            <w:right w:w="108" w:type="dxa"/>
          </w:tblCellMar>
        </w:tblPrEx>
        <w:trPr>
          <w:trHeight w:val="500" w:hRule="atLeast"/>
        </w:trPr>
        <w:tc>
          <w:tcPr>
            <w:tcW w:w="2174"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    目</w:t>
            </w:r>
          </w:p>
        </w:tc>
        <w:tc>
          <w:tcPr>
            <w:tcW w:w="946"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  计</w:t>
            </w:r>
          </w:p>
        </w:tc>
        <w:tc>
          <w:tcPr>
            <w:tcW w:w="2854"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  能  分  类</w:t>
            </w:r>
          </w:p>
        </w:tc>
        <w:tc>
          <w:tcPr>
            <w:tcW w:w="1013"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000"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一般公共预算</w:t>
            </w:r>
          </w:p>
        </w:tc>
        <w:tc>
          <w:tcPr>
            <w:tcW w:w="920"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政府性基金预算</w:t>
            </w:r>
          </w:p>
        </w:tc>
        <w:tc>
          <w:tcPr>
            <w:tcW w:w="1133" w:type="dxa"/>
            <w:tcBorders>
              <w:top w:val="nil"/>
              <w:left w:val="nil"/>
              <w:bottom w:val="single" w:color="auto" w:sz="4" w:space="0"/>
              <w:right w:val="single" w:color="auto" w:sz="4" w:space="0"/>
            </w:tcBorders>
            <w:vAlign w:val="center"/>
          </w:tcPr>
          <w:p>
            <w:pPr>
              <w:spacing w:line="200" w:lineRule="exac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eastAsia="zh-Hans"/>
              </w:rPr>
              <w:t>一、</w:t>
            </w:r>
            <w:r>
              <w:rPr>
                <w:rFonts w:hint="default" w:ascii="Times New Roman" w:hAnsi="Times New Roman" w:eastAsia="仿宋_GB2312" w:cs="Times New Roman"/>
                <w:kern w:val="0"/>
                <w:sz w:val="18"/>
                <w:szCs w:val="18"/>
              </w:rPr>
              <w:t>财政拨款（补助）</w:t>
            </w:r>
          </w:p>
        </w:tc>
        <w:tc>
          <w:tcPr>
            <w:tcW w:w="94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bidi="ar"/>
              </w:rPr>
              <w:t>1553.80</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一般公共预算</w:t>
            </w:r>
          </w:p>
        </w:tc>
        <w:tc>
          <w:tcPr>
            <w:tcW w:w="94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bidi="ar"/>
              </w:rPr>
              <w:t>1553.80</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政府性基金预算</w:t>
            </w:r>
          </w:p>
        </w:tc>
        <w:tc>
          <w:tcPr>
            <w:tcW w:w="94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rPr>
            </w:pP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国有资本经营预算</w:t>
            </w:r>
          </w:p>
        </w:tc>
        <w:tc>
          <w:tcPr>
            <w:tcW w:w="946"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18"/>
                <w:szCs w:val="18"/>
              </w:rPr>
            </w:pP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297"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w:t>
            </w:r>
            <w:r>
              <w:rPr>
                <w:rFonts w:hint="default" w:ascii="Times New Roman" w:hAnsi="Times New Roman" w:eastAsia="仿宋_GB2312" w:cs="Times New Roman"/>
                <w:kern w:val="0"/>
                <w:sz w:val="18"/>
                <w:szCs w:val="18"/>
                <w:lang w:eastAsia="zh-Hans"/>
              </w:rPr>
              <w:t>工业</w:t>
            </w:r>
            <w:r>
              <w:rPr>
                <w:rFonts w:hint="default" w:ascii="Times New Roman" w:hAnsi="Times New Roman" w:eastAsia="仿宋_GB2312" w:cs="Times New Roman"/>
                <w:kern w:val="0"/>
                <w:sz w:val="18"/>
                <w:szCs w:val="18"/>
              </w:rPr>
              <w:t>信息等支出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230 转移性支出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46"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b/>
                <w:bCs/>
                <w:kern w:val="0"/>
                <w:sz w:val="20"/>
                <w:szCs w:val="20"/>
              </w:rPr>
            </w:pP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b/>
                <w:bCs/>
                <w:kern w:val="0"/>
                <w:sz w:val="20"/>
                <w:szCs w:val="20"/>
              </w:rPr>
            </w:pP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312" w:hRule="exact"/>
        </w:trPr>
        <w:tc>
          <w:tcPr>
            <w:tcW w:w="217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val="0"/>
                <w:bCs w:val="0"/>
                <w:kern w:val="0"/>
                <w:sz w:val="20"/>
                <w:szCs w:val="20"/>
              </w:rPr>
              <w:t>1553.80</w:t>
            </w:r>
            <w:r>
              <w:rPr>
                <w:rFonts w:hint="default" w:ascii="Times New Roman" w:hAnsi="Times New Roman" w:eastAsia="仿宋_GB2312" w:cs="Times New Roman"/>
                <w:b/>
                <w:bCs/>
                <w:kern w:val="0"/>
                <w:sz w:val="20"/>
                <w:szCs w:val="20"/>
              </w:rPr>
              <w:t>　</w:t>
            </w:r>
          </w:p>
        </w:tc>
        <w:tc>
          <w:tcPr>
            <w:tcW w:w="2854"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支  出  总  计</w:t>
            </w:r>
          </w:p>
        </w:tc>
        <w:tc>
          <w:tcPr>
            <w:tcW w:w="101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color w:val="000000"/>
                <w:kern w:val="0"/>
                <w:sz w:val="20"/>
                <w:szCs w:val="20"/>
                <w:lang w:bidi="ar"/>
              </w:rPr>
              <w:t>1553.80</w:t>
            </w:r>
          </w:p>
        </w:tc>
        <w:tc>
          <w:tcPr>
            <w:tcW w:w="100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color w:val="000000"/>
                <w:kern w:val="0"/>
                <w:sz w:val="20"/>
                <w:szCs w:val="20"/>
                <w:lang w:bidi="ar"/>
              </w:rPr>
              <w:t>1553.80</w:t>
            </w:r>
          </w:p>
        </w:tc>
        <w:tc>
          <w:tcPr>
            <w:tcW w:w="920"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kern w:val="0"/>
                <w:sz w:val="20"/>
                <w:szCs w:val="20"/>
              </w:rPr>
            </w:pPr>
          </w:p>
        </w:tc>
        <w:tc>
          <w:tcPr>
            <w:tcW w:w="1133"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rPr>
            </w:pPr>
          </w:p>
        </w:tc>
      </w:tr>
    </w:tbl>
    <w:p>
      <w:pPr>
        <w:widowControl/>
        <w:spacing w:line="320" w:lineRule="exact"/>
        <w:outlineLvl w:val="1"/>
        <w:rPr>
          <w:rFonts w:hint="default" w:ascii="Times New Roman" w:hAnsi="Times New Roman" w:eastAsia="仿宋_GB2312" w:cs="Times New Roman"/>
          <w:b/>
          <w:kern w:val="0"/>
          <w:sz w:val="28"/>
          <w:szCs w:val="32"/>
        </w:rPr>
      </w:pPr>
    </w:p>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表5</w:t>
      </w:r>
    </w:p>
    <w:tbl>
      <w:tblPr>
        <w:tblStyle w:val="10"/>
        <w:tblW w:w="9214" w:type="dxa"/>
        <w:tblInd w:w="-34" w:type="dxa"/>
        <w:tblLayout w:type="fixed"/>
        <w:tblCellMar>
          <w:top w:w="0" w:type="dxa"/>
          <w:left w:w="108" w:type="dxa"/>
          <w:bottom w:w="0" w:type="dxa"/>
          <w:right w:w="108" w:type="dxa"/>
        </w:tblCellMar>
      </w:tblPr>
      <w:tblGrid>
        <w:gridCol w:w="533"/>
        <w:gridCol w:w="499"/>
        <w:gridCol w:w="502"/>
        <w:gridCol w:w="2486"/>
        <w:gridCol w:w="1675"/>
        <w:gridCol w:w="1831"/>
        <w:gridCol w:w="1688"/>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szCs w:val="24"/>
              </w:rPr>
              <w:t xml:space="preserve">焉耆回族自治县五渠乡中心学校 </w:t>
            </w:r>
            <w:r>
              <w:rPr>
                <w:rFonts w:hint="eastAsia" w:eastAsia="仿宋_GB2312" w:cs="Times New Roman"/>
                <w:kern w:val="0"/>
                <w:sz w:val="24"/>
                <w:szCs w:val="24"/>
                <w:lang w:val="en-US" w:eastAsia="zh-CN"/>
              </w:rPr>
              <w:t xml:space="preserve">                      </w:t>
            </w:r>
            <w:r>
              <w:rPr>
                <w:rFonts w:hint="default"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405" w:hRule="atLeast"/>
        </w:trPr>
        <w:tc>
          <w:tcPr>
            <w:tcW w:w="40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194"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一般公共预算支出</w:t>
            </w:r>
          </w:p>
        </w:tc>
      </w:tr>
      <w:tr>
        <w:tblPrEx>
          <w:tblCellMar>
            <w:top w:w="0" w:type="dxa"/>
            <w:left w:w="108" w:type="dxa"/>
            <w:bottom w:w="0" w:type="dxa"/>
            <w:right w:w="108" w:type="dxa"/>
          </w:tblCellMar>
        </w:tblPrEx>
        <w:trPr>
          <w:trHeight w:val="465" w:hRule="atLeast"/>
        </w:trPr>
        <w:tc>
          <w:tcPr>
            <w:tcW w:w="153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486"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67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83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688"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300"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9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5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486"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675"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831"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688"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2"/>
                <w:szCs w:val="22"/>
              </w:rPr>
            </w:pPr>
            <w:r>
              <w:rPr>
                <w:rFonts w:hint="default" w:ascii="Times New Roman" w:hAnsi="Times New Roman" w:eastAsia="仿宋_GB2312" w:cs="Times New Roman"/>
                <w:color w:val="000000"/>
                <w:kern w:val="0"/>
                <w:sz w:val="21"/>
                <w:szCs w:val="21"/>
                <w:lang w:bidi="ar"/>
              </w:rPr>
              <w:t>205</w:t>
            </w:r>
          </w:p>
        </w:tc>
        <w:tc>
          <w:tcPr>
            <w:tcW w:w="49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2"/>
                <w:szCs w:val="22"/>
              </w:rPr>
            </w:pPr>
          </w:p>
        </w:tc>
        <w:tc>
          <w:tcPr>
            <w:tcW w:w="50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2"/>
                <w:szCs w:val="22"/>
              </w:rPr>
            </w:pPr>
          </w:p>
        </w:tc>
        <w:tc>
          <w:tcPr>
            <w:tcW w:w="24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2"/>
                <w:szCs w:val="22"/>
              </w:rPr>
            </w:pPr>
            <w:r>
              <w:rPr>
                <w:rFonts w:hint="default" w:ascii="Times New Roman" w:hAnsi="Times New Roman" w:eastAsia="仿宋_GB2312" w:cs="Times New Roman"/>
                <w:color w:val="000000"/>
                <w:sz w:val="21"/>
                <w:szCs w:val="32"/>
              </w:rPr>
              <w:t>教育支出</w:t>
            </w:r>
          </w:p>
        </w:tc>
        <w:tc>
          <w:tcPr>
            <w:tcW w:w="167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color w:val="000000"/>
                <w:kern w:val="0"/>
                <w:sz w:val="20"/>
                <w:szCs w:val="20"/>
                <w:lang w:bidi="ar"/>
              </w:rPr>
              <w:t>1553.80</w:t>
            </w:r>
          </w:p>
        </w:tc>
        <w:tc>
          <w:tcPr>
            <w:tcW w:w="183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color w:val="000000"/>
                <w:kern w:val="0"/>
                <w:sz w:val="20"/>
                <w:szCs w:val="20"/>
                <w:lang w:bidi="ar"/>
              </w:rPr>
              <w:t>1553.80</w:t>
            </w:r>
          </w:p>
        </w:tc>
        <w:tc>
          <w:tcPr>
            <w:tcW w:w="1688"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eastAsia="仿宋_GB2312" w:cs="Times New Roman"/>
                <w:b/>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205</w:t>
            </w:r>
          </w:p>
        </w:tc>
        <w:tc>
          <w:tcPr>
            <w:tcW w:w="49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02</w:t>
            </w:r>
          </w:p>
        </w:tc>
        <w:tc>
          <w:tcPr>
            <w:tcW w:w="50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p>
        </w:tc>
        <w:tc>
          <w:tcPr>
            <w:tcW w:w="24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1"/>
                <w:szCs w:val="32"/>
              </w:rPr>
              <w:t>普通教育</w:t>
            </w:r>
          </w:p>
        </w:tc>
        <w:tc>
          <w:tcPr>
            <w:tcW w:w="167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183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1688"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205</w:t>
            </w:r>
          </w:p>
        </w:tc>
        <w:tc>
          <w:tcPr>
            <w:tcW w:w="499"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02</w:t>
            </w:r>
          </w:p>
        </w:tc>
        <w:tc>
          <w:tcPr>
            <w:tcW w:w="502"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02</w:t>
            </w:r>
          </w:p>
        </w:tc>
        <w:tc>
          <w:tcPr>
            <w:tcW w:w="24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sz w:val="21"/>
                <w:szCs w:val="32"/>
              </w:rPr>
              <w:t>小学教育</w:t>
            </w:r>
          </w:p>
        </w:tc>
        <w:tc>
          <w:tcPr>
            <w:tcW w:w="167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183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1553.80</w:t>
            </w:r>
          </w:p>
        </w:tc>
        <w:tc>
          <w:tcPr>
            <w:tcW w:w="1688" w:type="dxa"/>
            <w:tcBorders>
              <w:top w:val="nil"/>
              <w:left w:val="nil"/>
              <w:bottom w:val="single" w:color="auto" w:sz="4" w:space="0"/>
              <w:right w:val="single" w:color="auto" w:sz="4" w:space="0"/>
            </w:tcBorders>
            <w:vAlign w:val="center"/>
          </w:tcPr>
          <w:p>
            <w:pPr>
              <w:widowControl/>
              <w:jc w:val="right"/>
              <w:textAlignment w:val="center"/>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0"/>
                <w:szCs w:val="20"/>
              </w:rPr>
            </w:pP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75"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83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168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499"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50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0"/>
                <w:szCs w:val="20"/>
              </w:rPr>
            </w:pPr>
          </w:p>
        </w:tc>
        <w:tc>
          <w:tcPr>
            <w:tcW w:w="248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rPr>
            </w:pPr>
            <w:r>
              <w:rPr>
                <w:rFonts w:hint="default" w:ascii="Times New Roman" w:hAnsi="Times New Roman" w:eastAsia="仿宋_GB2312" w:cs="Times New Roman"/>
                <w:b/>
                <w:bCs/>
                <w:kern w:val="0"/>
                <w:sz w:val="20"/>
                <w:szCs w:val="20"/>
              </w:rPr>
              <w:t>合  计</w:t>
            </w:r>
          </w:p>
        </w:tc>
        <w:tc>
          <w:tcPr>
            <w:tcW w:w="167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1553.80</w:t>
            </w:r>
          </w:p>
        </w:tc>
        <w:tc>
          <w:tcPr>
            <w:tcW w:w="183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1553.80</w:t>
            </w:r>
          </w:p>
        </w:tc>
        <w:tc>
          <w:tcPr>
            <w:tcW w:w="168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p>
        </w:tc>
      </w:tr>
    </w:tbl>
    <w:p>
      <w:pPr>
        <w:widowControl/>
        <w:spacing w:line="320" w:lineRule="exact"/>
        <w:outlineLvl w:val="1"/>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1"/>
                <w:szCs w:val="21"/>
              </w:rPr>
              <w:t>焉耆回族自治县五渠乡中心学校</w:t>
            </w:r>
            <w:r>
              <w:rPr>
                <w:rFonts w:hint="eastAsia" w:eastAsia="仿宋_GB2312" w:cs="Times New Roman"/>
                <w:kern w:val="0"/>
                <w:sz w:val="21"/>
                <w:szCs w:val="21"/>
                <w:lang w:val="en-US" w:eastAsia="zh-CN"/>
              </w:rPr>
              <w:t xml:space="preserve">                                   单位：万元</w:t>
            </w:r>
            <w:r>
              <w:rPr>
                <w:rFonts w:hint="default" w:ascii="Times New Roman" w:hAnsi="Times New Roman" w:eastAsia="仿宋_GB2312" w:cs="Times New Roman"/>
                <w:kern w:val="0"/>
                <w:sz w:val="24"/>
              </w:rPr>
              <w:t xml:space="preserve">       </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5103"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工资福利支出</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kern w:val="0"/>
                <w:sz w:val="24"/>
                <w:szCs w:val="24"/>
                <w:lang w:val="en-US" w:eastAsia="zh-CN"/>
              </w:rPr>
            </w:pPr>
            <w:r>
              <w:rPr>
                <w:rFonts w:hint="default" w:ascii="Times New Roman" w:hAnsi="Times New Roman" w:eastAsia="仿宋_GB2312" w:cs="Times New Roman"/>
                <w:color w:val="000000"/>
                <w:kern w:val="0"/>
                <w:sz w:val="22"/>
                <w:szCs w:val="22"/>
                <w:lang w:bidi="ar"/>
              </w:rPr>
              <w:t>1513.8</w:t>
            </w:r>
            <w:r>
              <w:rPr>
                <w:rFonts w:hint="eastAsia" w:eastAsia="仿宋_GB2312" w:cs="Times New Roman"/>
                <w:color w:val="000000"/>
                <w:kern w:val="0"/>
                <w:sz w:val="22"/>
                <w:szCs w:val="22"/>
                <w:lang w:val="en-US" w:eastAsia="zh-CN"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kern w:val="0"/>
                <w:sz w:val="24"/>
                <w:szCs w:val="24"/>
                <w:lang w:val="en-US" w:eastAsia="zh-CN"/>
              </w:rPr>
            </w:pPr>
            <w:r>
              <w:rPr>
                <w:rFonts w:hint="default" w:ascii="Times New Roman" w:hAnsi="Times New Roman" w:eastAsia="仿宋_GB2312" w:cs="Times New Roman"/>
                <w:color w:val="000000"/>
                <w:kern w:val="0"/>
                <w:sz w:val="22"/>
                <w:szCs w:val="22"/>
                <w:lang w:bidi="ar"/>
              </w:rPr>
              <w:t>1513.8</w:t>
            </w:r>
            <w:r>
              <w:rPr>
                <w:rFonts w:hint="eastAsia" w:eastAsia="仿宋_GB2312" w:cs="Times New Roman"/>
                <w:color w:val="000000"/>
                <w:kern w:val="0"/>
                <w:sz w:val="22"/>
                <w:szCs w:val="22"/>
                <w:lang w:val="en-US" w:eastAsia="zh-CN" w:bidi="ar"/>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01</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基本工资</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536.78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536.78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02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津贴补贴</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536.95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536.95</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08</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160.28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160.28</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09</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职业年金缴费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80.14</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80.14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10</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职工基本医疗保险缴费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72.44</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72.44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12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其他社会保障缴费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7.01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7.01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13</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住房公积金</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120.21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120.21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商品与服务支出</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25.13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25.13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08</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取暖费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21.17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21.17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10</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福利费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0.17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0.17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16</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培训费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3.60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3.60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28</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工会经费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0.19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0.19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303</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对个人和家庭补助</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14.86</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14.86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303</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02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sz w:val="20"/>
                <w:szCs w:val="20"/>
              </w:rPr>
              <w:t>退休费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12.56</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12.56</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303</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生活补助</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2.30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szCs w:val="22"/>
                <w:lang w:bidi="ar"/>
              </w:rPr>
              <w:t>2.30</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335" w:hRule="atLeast"/>
        </w:trPr>
        <w:tc>
          <w:tcPr>
            <w:tcW w:w="757" w:type="dxa"/>
            <w:tcBorders>
              <w:top w:val="nil"/>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tcPr>
          <w:p>
            <w:pPr>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b/>
                <w:bCs/>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1553.80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kern w:val="0"/>
                <w:sz w:val="22"/>
                <w:szCs w:val="22"/>
                <w:lang w:val="en-US" w:eastAsia="zh-CN"/>
              </w:rPr>
            </w:pPr>
            <w:r>
              <w:rPr>
                <w:rFonts w:hint="default" w:ascii="Times New Roman" w:hAnsi="Times New Roman" w:eastAsia="仿宋_GB2312" w:cs="Times New Roman"/>
                <w:color w:val="000000"/>
                <w:kern w:val="0"/>
                <w:sz w:val="21"/>
                <w:szCs w:val="21"/>
                <w:lang w:bidi="ar"/>
              </w:rPr>
              <w:t>1528.6</w:t>
            </w:r>
            <w:r>
              <w:rPr>
                <w:rFonts w:hint="eastAsia" w:eastAsia="仿宋_GB2312" w:cs="Times New Roman"/>
                <w:color w:val="000000"/>
                <w:kern w:val="0"/>
                <w:sz w:val="21"/>
                <w:szCs w:val="21"/>
                <w:lang w:val="en-US" w:eastAsia="zh-CN" w:bidi="ar"/>
              </w:rPr>
              <w:t>7</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color w:val="000000"/>
                <w:kern w:val="0"/>
                <w:sz w:val="21"/>
                <w:szCs w:val="21"/>
                <w:lang w:bidi="ar"/>
              </w:rPr>
              <w:t>25.13</w:t>
            </w:r>
          </w:p>
        </w:tc>
      </w:tr>
    </w:tbl>
    <w:p>
      <w:pPr>
        <w:widowControl/>
        <w:spacing w:line="320" w:lineRule="exact"/>
        <w:outlineLvl w:val="1"/>
        <w:rPr>
          <w:rFonts w:hint="default" w:ascii="Times New Roman" w:hAnsi="Times New Roman" w:eastAsia="仿宋_GB2312" w:cs="Times New Roman"/>
          <w:b/>
          <w:kern w:val="0"/>
          <w:sz w:val="28"/>
          <w:szCs w:val="32"/>
        </w:rPr>
      </w:pPr>
    </w:p>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w:t>
            </w:r>
            <w:r>
              <w:rPr>
                <w:rFonts w:hint="default" w:ascii="Times New Roman" w:hAnsi="Times New Roman" w:eastAsia="仿宋_GB2312" w:cs="Times New Roman"/>
                <w:kern w:val="0"/>
                <w:sz w:val="24"/>
                <w:szCs w:val="24"/>
              </w:rPr>
              <w:t xml:space="preserve">焉耆回族自治县五渠乡中心学校 </w:t>
            </w:r>
            <w:r>
              <w:rPr>
                <w:rFonts w:hint="default" w:ascii="Times New Roman" w:hAnsi="Times New Roman" w:eastAsia="仿宋_GB2312" w:cs="Times New Roman"/>
                <w:kern w:val="0"/>
                <w:sz w:val="20"/>
                <w:szCs w:val="20"/>
              </w:rPr>
              <w:t xml:space="preserve"> </w:t>
            </w:r>
            <w:r>
              <w:rPr>
                <w:rFonts w:hint="eastAsia" w:eastAsia="仿宋_GB2312" w:cs="Times New Roman"/>
                <w:kern w:val="0"/>
                <w:sz w:val="20"/>
                <w:szCs w:val="20"/>
                <w:lang w:val="en-US" w:eastAsia="zh-CN"/>
              </w:rPr>
              <w:t xml:space="preserve">                      </w:t>
            </w:r>
            <w:r>
              <w:rPr>
                <w:rFonts w:hint="default" w:ascii="Times New Roman" w:hAnsi="Times New Roman" w:eastAsia="仿宋_GB2312" w:cs="Times New Roman"/>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 目 编 码</w:t>
            </w:r>
          </w:p>
        </w:tc>
        <w:tc>
          <w:tcPr>
            <w:tcW w:w="82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w:t>
            </w:r>
          </w:p>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名称</w:t>
            </w:r>
          </w:p>
        </w:tc>
        <w:tc>
          <w:tcPr>
            <w:tcW w:w="1400" w:type="dxa"/>
            <w:vMerge w:val="restart"/>
            <w:vAlign w:val="center"/>
          </w:tcPr>
          <w:p>
            <w:pPr>
              <w:jc w:val="center"/>
              <w:rPr>
                <w:rFonts w:hint="default" w:ascii="Times New Roman" w:hAnsi="Times New Roman" w:cs="Times New Roman"/>
                <w:sz w:val="20"/>
                <w:szCs w:val="20"/>
              </w:rPr>
            </w:pPr>
            <w:r>
              <w:rPr>
                <w:rFonts w:hint="default" w:ascii="Times New Roman" w:hAnsi="Times New Roman" w:eastAsia="仿宋_GB2312" w:cs="Times New Roman"/>
                <w:b/>
                <w:kern w:val="0"/>
                <w:sz w:val="20"/>
                <w:szCs w:val="20"/>
              </w:rPr>
              <w:t>项目名称</w:t>
            </w:r>
          </w:p>
        </w:tc>
        <w:tc>
          <w:tcPr>
            <w:tcW w:w="732"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项目支出合计</w:t>
            </w:r>
          </w:p>
        </w:tc>
        <w:tc>
          <w:tcPr>
            <w:tcW w:w="561"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工资福利支出</w:t>
            </w:r>
          </w:p>
        </w:tc>
        <w:tc>
          <w:tcPr>
            <w:tcW w:w="53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商品和服务支出</w:t>
            </w:r>
          </w:p>
        </w:tc>
        <w:tc>
          <w:tcPr>
            <w:tcW w:w="63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对个人和家庭的补助</w:t>
            </w:r>
          </w:p>
        </w:tc>
        <w:tc>
          <w:tcPr>
            <w:tcW w:w="63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债务利息及费用支出</w:t>
            </w:r>
          </w:p>
        </w:tc>
        <w:tc>
          <w:tcPr>
            <w:tcW w:w="61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资本性支出（基本建设）</w:t>
            </w:r>
          </w:p>
        </w:tc>
        <w:tc>
          <w:tcPr>
            <w:tcW w:w="41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w:t>
            </w:r>
          </w:p>
        </w:tc>
        <w:tc>
          <w:tcPr>
            <w:tcW w:w="618"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对企业补助（基本建设）</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对社会保障基金补助</w:t>
            </w:r>
          </w:p>
        </w:tc>
        <w:tc>
          <w:tcPr>
            <w:tcW w:w="465" w:type="dxa"/>
            <w:gridSpan w:val="2"/>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类</w:t>
            </w:r>
          </w:p>
        </w:tc>
        <w:tc>
          <w:tcPr>
            <w:tcW w:w="417"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款</w:t>
            </w:r>
          </w:p>
        </w:tc>
        <w:tc>
          <w:tcPr>
            <w:tcW w:w="417"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w:t>
            </w:r>
          </w:p>
        </w:tc>
        <w:tc>
          <w:tcPr>
            <w:tcW w:w="828" w:type="dxa"/>
            <w:vMerge w:val="continue"/>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p>
        </w:tc>
        <w:tc>
          <w:tcPr>
            <w:tcW w:w="140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732"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61"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3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3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3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18"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1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618"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65" w:type="dxa"/>
            <w:gridSpan w:val="2"/>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lang w:eastAsia="zh-Hans"/>
              </w:rPr>
            </w:pP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417" w:type="dxa"/>
          </w:tcPr>
          <w:p>
            <w:pPr>
              <w:widowControl/>
              <w:jc w:val="left"/>
              <w:outlineLvl w:val="1"/>
              <w:rPr>
                <w:rFonts w:hint="default" w:ascii="Times New Roman" w:hAnsi="Times New Roman" w:eastAsia="仿宋_GB2312" w:cs="Times New Roman"/>
                <w:kern w:val="0"/>
                <w:sz w:val="32"/>
                <w:szCs w:val="32"/>
              </w:rPr>
            </w:pPr>
          </w:p>
        </w:tc>
        <w:tc>
          <w:tcPr>
            <w:tcW w:w="828" w:type="dxa"/>
          </w:tcPr>
          <w:p>
            <w:pPr>
              <w:widowControl/>
              <w:jc w:val="left"/>
              <w:outlineLvl w:val="1"/>
              <w:rPr>
                <w:rFonts w:hint="default" w:ascii="Times New Roman" w:hAnsi="Times New Roman" w:eastAsia="仿宋_GB2312" w:cs="Times New Roman"/>
                <w:kern w:val="0"/>
                <w:sz w:val="32"/>
                <w:szCs w:val="32"/>
              </w:rPr>
            </w:pPr>
          </w:p>
        </w:tc>
        <w:tc>
          <w:tcPr>
            <w:tcW w:w="1400" w:type="dxa"/>
          </w:tcPr>
          <w:p>
            <w:pPr>
              <w:widowControl/>
              <w:jc w:val="left"/>
              <w:outlineLvl w:val="1"/>
              <w:rPr>
                <w:rFonts w:hint="default" w:ascii="Times New Roman" w:hAnsi="Times New Roman" w:eastAsia="仿宋_GB2312" w:cs="Times New Roman"/>
                <w:kern w:val="0"/>
                <w:sz w:val="32"/>
                <w:szCs w:val="32"/>
              </w:rPr>
            </w:pPr>
          </w:p>
        </w:tc>
        <w:tc>
          <w:tcPr>
            <w:tcW w:w="732" w:type="dxa"/>
          </w:tcPr>
          <w:p>
            <w:pPr>
              <w:widowControl/>
              <w:jc w:val="left"/>
              <w:outlineLvl w:val="1"/>
              <w:rPr>
                <w:rFonts w:hint="default" w:ascii="Times New Roman" w:hAnsi="Times New Roman" w:eastAsia="仿宋_GB2312" w:cs="Times New Roman"/>
                <w:kern w:val="0"/>
                <w:sz w:val="32"/>
                <w:szCs w:val="32"/>
              </w:rPr>
            </w:pPr>
          </w:p>
        </w:tc>
        <w:tc>
          <w:tcPr>
            <w:tcW w:w="561" w:type="dxa"/>
          </w:tcPr>
          <w:p>
            <w:pPr>
              <w:widowControl/>
              <w:jc w:val="left"/>
              <w:outlineLvl w:val="1"/>
              <w:rPr>
                <w:rFonts w:hint="default" w:ascii="Times New Roman" w:hAnsi="Times New Roman" w:eastAsia="仿宋_GB2312" w:cs="Times New Roman"/>
                <w:kern w:val="0"/>
                <w:sz w:val="32"/>
                <w:szCs w:val="32"/>
              </w:rPr>
            </w:pPr>
          </w:p>
        </w:tc>
        <w:tc>
          <w:tcPr>
            <w:tcW w:w="530"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3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19" w:type="dxa"/>
          </w:tcPr>
          <w:p>
            <w:pPr>
              <w:widowControl/>
              <w:jc w:val="left"/>
              <w:outlineLvl w:val="1"/>
              <w:rPr>
                <w:rFonts w:hint="default" w:ascii="Times New Roman" w:hAnsi="Times New Roman" w:eastAsia="仿宋_GB2312" w:cs="Times New Roman"/>
                <w:kern w:val="0"/>
                <w:sz w:val="32"/>
                <w:szCs w:val="32"/>
              </w:rPr>
            </w:pPr>
          </w:p>
        </w:tc>
        <w:tc>
          <w:tcPr>
            <w:tcW w:w="618"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20" w:type="dxa"/>
          </w:tcPr>
          <w:p>
            <w:pPr>
              <w:widowControl/>
              <w:jc w:val="left"/>
              <w:outlineLvl w:val="1"/>
              <w:rPr>
                <w:rFonts w:hint="default" w:ascii="Times New Roman" w:hAnsi="Times New Roman" w:eastAsia="仿宋_GB2312" w:cs="Times New Roman"/>
                <w:kern w:val="0"/>
                <w:sz w:val="32"/>
                <w:szCs w:val="32"/>
              </w:rPr>
            </w:pPr>
          </w:p>
        </w:tc>
        <w:tc>
          <w:tcPr>
            <w:tcW w:w="465" w:type="dxa"/>
            <w:gridSpan w:val="2"/>
          </w:tcPr>
          <w:p>
            <w:pPr>
              <w:widowControl/>
              <w:jc w:val="left"/>
              <w:outlineLvl w:val="1"/>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732"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7"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82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400" w:type="dxa"/>
            <w:vAlign w:val="center"/>
          </w:tcPr>
          <w:p>
            <w:pPr>
              <w:widowControl/>
              <w:jc w:val="center"/>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20"/>
                <w:szCs w:val="20"/>
              </w:rPr>
              <w:t>合 计</w:t>
            </w:r>
          </w:p>
        </w:tc>
        <w:tc>
          <w:tcPr>
            <w:tcW w:w="732" w:type="dxa"/>
            <w:vAlign w:val="center"/>
          </w:tcPr>
          <w:p>
            <w:pPr>
              <w:widowControl/>
              <w:jc w:val="center"/>
              <w:outlineLvl w:val="1"/>
              <w:rPr>
                <w:rFonts w:hint="default" w:ascii="Times New Roman" w:hAnsi="Times New Roman" w:eastAsia="仿宋_GB2312" w:cs="Times New Roman"/>
                <w:kern w:val="0"/>
                <w:szCs w:val="21"/>
              </w:rPr>
            </w:pPr>
          </w:p>
        </w:tc>
        <w:tc>
          <w:tcPr>
            <w:tcW w:w="561"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3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3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19"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618"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20" w:type="dxa"/>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465" w:type="dxa"/>
            <w:gridSpan w:val="2"/>
          </w:tcPr>
          <w:p>
            <w:pPr>
              <w:widowControl/>
              <w:jc w:val="lef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r>
    </w:tbl>
    <w:p>
      <w:pPr>
        <w:widowControl/>
        <w:spacing w:line="280" w:lineRule="exact"/>
        <w:outlineLvl w:val="1"/>
        <w:rPr>
          <w:rFonts w:hint="default" w:ascii="Times New Roman" w:hAnsi="Times New Roman" w:eastAsia="仿宋_GB2312" w:cs="Times New Roman"/>
          <w:b/>
          <w:kern w:val="0"/>
          <w:sz w:val="28"/>
          <w:szCs w:val="32"/>
        </w:rPr>
      </w:pPr>
    </w:p>
    <w:p>
      <w:pPr>
        <w:widowControl/>
        <w:spacing w:line="280" w:lineRule="exact"/>
        <w:outlineLvl w:val="1"/>
        <w:rPr>
          <w:rFonts w:hint="default" w:ascii="Times New Roman" w:hAnsi="Times New Roman" w:cs="Times New Roman"/>
          <w:kern w:val="0"/>
          <w:sz w:val="20"/>
          <w:szCs w:val="20"/>
          <w:lang w:bidi="ar"/>
        </w:rPr>
      </w:pPr>
      <w:r>
        <w:rPr>
          <w:rFonts w:hint="default" w:ascii="Times New Roman" w:hAnsi="Times New Roman" w:eastAsia="仿宋_GB2312" w:cs="Times New Roman"/>
          <w:b/>
          <w:kern w:val="0"/>
          <w:sz w:val="28"/>
          <w:szCs w:val="32"/>
        </w:rPr>
        <w:t>备注：2025年本单位</w:t>
      </w:r>
      <w:r>
        <w:rPr>
          <w:rFonts w:hint="eastAsia" w:eastAsia="仿宋_GB2312" w:cs="Times New Roman"/>
          <w:b/>
          <w:kern w:val="0"/>
          <w:sz w:val="28"/>
          <w:szCs w:val="32"/>
          <w:lang w:eastAsia="zh-CN"/>
        </w:rPr>
        <w:t>无</w:t>
      </w:r>
      <w:r>
        <w:rPr>
          <w:rFonts w:hint="default" w:ascii="Times New Roman" w:hAnsi="Times New Roman" w:eastAsia="仿宋_GB2312" w:cs="Times New Roman"/>
          <w:b/>
          <w:kern w:val="0"/>
          <w:sz w:val="28"/>
          <w:szCs w:val="32"/>
        </w:rPr>
        <w:t>一般公共预算项目支出，此表为空表。</w:t>
      </w: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szCs w:val="24"/>
        </w:rPr>
      </w:pPr>
      <w:r>
        <w:rPr>
          <w:rFonts w:hint="eastAsia" w:ascii="仿宋_GB2312" w:hAnsi="宋体" w:eastAsia="仿宋_GB2312"/>
          <w:kern w:val="0"/>
          <w:sz w:val="24"/>
        </w:rPr>
        <w:t>编制单位：</w:t>
      </w:r>
      <w:r>
        <w:rPr>
          <w:rFonts w:hint="eastAsia" w:ascii="仿宋_GB2312" w:hAnsi="宋体" w:eastAsia="仿宋_GB2312"/>
          <w:kern w:val="0"/>
          <w:sz w:val="24"/>
          <w:szCs w:val="24"/>
        </w:rPr>
        <w:t xml:space="preserve">焉耆回族自治县五号渠乡中心学校 </w:t>
      </w:r>
      <w:r>
        <w:rPr>
          <w:rFonts w:hint="eastAsia" w:ascii="仿宋_GB2312" w:hAnsi="宋体" w:eastAsia="仿宋_GB2312"/>
          <w:kern w:val="0"/>
          <w:sz w:val="24"/>
        </w:rPr>
        <w:t xml:space="preserve">                </w:t>
      </w:r>
      <w:r>
        <w:rPr>
          <w:rFonts w:hint="eastAsia" w:ascii="仿宋_GB2312" w:hAnsi="宋体" w:eastAsia="仿宋_GB2312"/>
          <w:kern w:val="0"/>
          <w:sz w:val="24"/>
          <w:szCs w:val="24"/>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hint="eastAsia" w:eastAsia="仿宋_GB2312"/>
          <w:kern w:val="0"/>
          <w:sz w:val="20"/>
          <w:szCs w:val="20"/>
          <w:lang w:eastAsia="zh-CN" w:bidi="ar"/>
        </w:rPr>
      </w:pPr>
      <w:r>
        <w:rPr>
          <w:rFonts w:eastAsia="仿宋_GB2312"/>
          <w:b/>
          <w:kern w:val="0"/>
          <w:sz w:val="28"/>
          <w:szCs w:val="32"/>
        </w:rPr>
        <w:t>备注：202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本单位</w:t>
      </w:r>
      <w:r>
        <w:rPr>
          <w:rFonts w:hint="eastAsia" w:eastAsia="仿宋_GB2312"/>
          <w:b/>
          <w:kern w:val="0"/>
          <w:sz w:val="28"/>
          <w:szCs w:val="32"/>
          <w:lang w:eastAsia="zh-CN"/>
        </w:rPr>
        <w:t>无</w:t>
      </w:r>
      <w:r>
        <w:rPr>
          <w:rFonts w:eastAsia="仿宋_GB2312"/>
          <w:b/>
          <w:kern w:val="0"/>
          <w:sz w:val="28"/>
          <w:szCs w:val="32"/>
        </w:rPr>
        <w:t>政府性基金预算，此表为空表</w:t>
      </w:r>
      <w:r>
        <w:rPr>
          <w:rFonts w:hint="eastAsia" w:eastAsia="仿宋_GB2312"/>
          <w:b/>
          <w:kern w:val="0"/>
          <w:sz w:val="28"/>
          <w:szCs w:val="32"/>
          <w:lang w:eastAsia="zh-CN"/>
        </w:rPr>
        <w:t>。</w:t>
      </w: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仿宋_GB2312" w:hAnsi="宋体" w:eastAsia="仿宋_GB2312"/>
          <w:b/>
          <w:kern w:val="0"/>
          <w:sz w:val="28"/>
          <w:szCs w:val="32"/>
        </w:rPr>
      </w:pPr>
      <w:r>
        <w:rPr>
          <w:rFonts w:hint="eastAsia" w:ascii="宋体" w:hAnsi="宋体" w:cs="宋体"/>
          <w:kern w:val="0"/>
          <w:sz w:val="20"/>
          <w:szCs w:val="20"/>
          <w:lang w:bidi="ar"/>
        </w:rPr>
        <w:t>表9</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编制单位：焉耆回族自治县五号渠乡中心学校                    单位：万元</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                                  </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p>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eastAsia="仿宋_GB2312"/>
          <w:b/>
          <w:kern w:val="0"/>
          <w:sz w:val="28"/>
          <w:szCs w:val="32"/>
        </w:rPr>
      </w:pPr>
    </w:p>
    <w:p>
      <w:pPr>
        <w:widowControl/>
        <w:spacing w:line="280" w:lineRule="exact"/>
        <w:outlineLvl w:val="1"/>
        <w:rPr>
          <w:rFonts w:eastAsia="仿宋_GB2312"/>
          <w:kern w:val="0"/>
          <w:sz w:val="32"/>
          <w:szCs w:val="32"/>
        </w:rPr>
      </w:pPr>
      <w:r>
        <w:rPr>
          <w:rFonts w:eastAsia="仿宋_GB2312"/>
          <w:b/>
          <w:kern w:val="0"/>
          <w:sz w:val="28"/>
          <w:szCs w:val="32"/>
        </w:rPr>
        <w:t>备注：202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本单位</w:t>
      </w:r>
      <w:r>
        <w:rPr>
          <w:rFonts w:hint="eastAsia" w:eastAsia="仿宋_GB2312"/>
          <w:b/>
          <w:kern w:val="0"/>
          <w:sz w:val="28"/>
          <w:szCs w:val="32"/>
          <w:lang w:eastAsia="zh-CN"/>
        </w:rPr>
        <w:t>无</w:t>
      </w:r>
      <w:r>
        <w:rPr>
          <w:rFonts w:eastAsia="仿宋_GB2312"/>
          <w:b/>
          <w:kern w:val="0"/>
          <w:sz w:val="28"/>
          <w:szCs w:val="32"/>
        </w:rPr>
        <w:t>国有资本经营预算，此表为空表。</w:t>
      </w: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pStyle w:val="2"/>
        <w:rPr>
          <w:rFonts w:ascii="宋体" w:hAnsi="宋体" w:cs="宋体"/>
          <w:kern w:val="0"/>
          <w:sz w:val="20"/>
          <w:szCs w:val="20"/>
          <w:lang w:bidi="ar"/>
        </w:rPr>
      </w:pPr>
    </w:p>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lang w:eastAsia="zh-Hans"/>
        </w:rPr>
        <w:t>财政拨款</w:t>
      </w:r>
      <w:r>
        <w:rPr>
          <w:rFonts w:hint="eastAsia" w:ascii="仿宋_GB2312" w:hAnsi="宋体" w:eastAsia="仿宋_GB2312"/>
          <w:b/>
          <w:kern w:val="0"/>
          <w:sz w:val="32"/>
          <w:szCs w:val="32"/>
        </w:rPr>
        <w:t>“三公”经费支出情况表</w:t>
      </w:r>
    </w:p>
    <w:p>
      <w:pPr>
        <w:widowControl/>
        <w:jc w:val="left"/>
        <w:rPr>
          <w:rFonts w:ascii="仿宋_GB2312" w:hAnsi="宋体" w:eastAsia="仿宋_GB2312"/>
          <w:kern w:val="0"/>
          <w:sz w:val="24"/>
        </w:rPr>
      </w:pPr>
      <w:r>
        <w:rPr>
          <w:rFonts w:hint="eastAsia" w:ascii="仿宋_GB2312" w:hAnsi="宋体" w:eastAsia="仿宋_GB2312"/>
          <w:kern w:val="0"/>
          <w:sz w:val="24"/>
        </w:rPr>
        <w:t xml:space="preserve">编制单位：  焉耆回族自治县五号渠乡中心学校             单位：万元                                  </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“三公”经费支出内容</w:t>
            </w:r>
          </w:p>
        </w:tc>
        <w:tc>
          <w:tcPr>
            <w:tcW w:w="1156" w:type="dxa"/>
            <w:vMerge w:val="restart"/>
            <w:vAlign w:val="center"/>
          </w:tcPr>
          <w:p>
            <w:pPr>
              <w:widowControl/>
              <w:jc w:val="center"/>
              <w:outlineLvl w:val="1"/>
              <w:rPr>
                <w:rFonts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合计</w:t>
            </w:r>
          </w:p>
        </w:tc>
        <w:tc>
          <w:tcPr>
            <w:tcW w:w="4279" w:type="dxa"/>
            <w:gridSpan w:val="3"/>
            <w:vAlign w:val="center"/>
          </w:tcPr>
          <w:p>
            <w:pPr>
              <w:widowControl/>
              <w:jc w:val="center"/>
              <w:outlineLvl w:val="1"/>
              <w:rPr>
                <w:rFonts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tcPr>
          <w:p>
            <w:pPr>
              <w:widowControl/>
              <w:outlineLvl w:val="1"/>
              <w:rPr>
                <w:rFonts w:ascii="仿宋_GB2312" w:hAnsi="宋体" w:eastAsia="仿宋_GB2312"/>
                <w:b/>
                <w:kern w:val="0"/>
                <w:sz w:val="28"/>
                <w:szCs w:val="32"/>
              </w:rPr>
            </w:pPr>
          </w:p>
        </w:tc>
        <w:tc>
          <w:tcPr>
            <w:tcW w:w="1156" w:type="dxa"/>
            <w:vMerge w:val="continue"/>
          </w:tcPr>
          <w:p>
            <w:pPr>
              <w:widowControl/>
              <w:outlineLvl w:val="1"/>
              <w:rPr>
                <w:rFonts w:ascii="仿宋_GB2312" w:hAnsi="宋体" w:eastAsia="仿宋_GB2312"/>
                <w:b/>
                <w:kern w:val="0"/>
                <w:sz w:val="28"/>
                <w:szCs w:val="32"/>
              </w:rPr>
            </w:pPr>
          </w:p>
        </w:tc>
        <w:tc>
          <w:tcPr>
            <w:tcW w:w="1247" w:type="dxa"/>
            <w:vAlign w:val="center"/>
          </w:tcPr>
          <w:p>
            <w:pPr>
              <w:widowControl/>
              <w:jc w:val="center"/>
              <w:outlineLvl w:val="1"/>
              <w:rPr>
                <w:rFonts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一般公共预算</w:t>
            </w:r>
          </w:p>
        </w:tc>
        <w:tc>
          <w:tcPr>
            <w:tcW w:w="1504"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528"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合计</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因公出国（境）费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公务接待费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公务用车购置及运行费</w:t>
            </w:r>
          </w:p>
          <w:p>
            <w:pPr>
              <w:widowControl/>
              <w:jc w:val="center"/>
              <w:outlineLvl w:val="1"/>
              <w:rPr>
                <w:rFonts w:ascii="仿宋_GB2312" w:hAnsi="宋体" w:eastAsia="仿宋_GB2312"/>
                <w:b/>
                <w:kern w:val="0"/>
                <w:sz w:val="28"/>
                <w:szCs w:val="32"/>
              </w:rPr>
            </w:pPr>
            <w:r>
              <w:rPr>
                <w:rFonts w:hint="eastAsia" w:ascii="仿宋_GB2312" w:hAnsi="宋体" w:eastAsia="仿宋_GB2312"/>
                <w:b/>
                <w:kern w:val="0"/>
                <w:sz w:val="28"/>
                <w:szCs w:val="32"/>
              </w:rPr>
              <w:t>（小计）</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ind w:firstLine="281" w:firstLineChars="100"/>
              <w:outlineLvl w:val="1"/>
              <w:rPr>
                <w:rFonts w:ascii="仿宋_GB2312" w:hAnsi="宋体" w:eastAsia="仿宋_GB2312"/>
                <w:b/>
                <w:kern w:val="0"/>
                <w:sz w:val="28"/>
                <w:szCs w:val="32"/>
              </w:rPr>
            </w:pPr>
            <w:r>
              <w:rPr>
                <w:rFonts w:hint="eastAsia" w:ascii="仿宋_GB2312" w:hAnsi="宋体" w:eastAsia="仿宋_GB2312"/>
                <w:b/>
                <w:kern w:val="0"/>
                <w:sz w:val="28"/>
                <w:szCs w:val="32"/>
              </w:rPr>
              <w:t>其中：公务用车购置费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 xml:space="preserve">     </w:t>
            </w:r>
            <w:r>
              <w:rPr>
                <w:rFonts w:ascii="仿宋_GB2312" w:hAnsi="宋体" w:eastAsia="仿宋_GB2312"/>
                <w:b/>
                <w:kern w:val="0"/>
                <w:sz w:val="28"/>
                <w:szCs w:val="32"/>
              </w:rPr>
              <w:t xml:space="preserve">  </w:t>
            </w:r>
            <w:r>
              <w:rPr>
                <w:rFonts w:hint="eastAsia" w:ascii="仿宋_GB2312" w:hAnsi="宋体" w:eastAsia="仿宋_GB2312"/>
                <w:b/>
                <w:kern w:val="0"/>
                <w:sz w:val="28"/>
                <w:szCs w:val="32"/>
              </w:rPr>
              <w:t xml:space="preserve"> 公务用车运行费</w:t>
            </w:r>
          </w:p>
        </w:tc>
        <w:tc>
          <w:tcPr>
            <w:tcW w:w="1156" w:type="dxa"/>
          </w:tcPr>
          <w:p>
            <w:pPr>
              <w:widowControl/>
              <w:outlineLvl w:val="1"/>
              <w:rPr>
                <w:rFonts w:ascii="仿宋_GB2312" w:hAnsi="宋体" w:eastAsia="仿宋_GB2312"/>
                <w:b/>
                <w:kern w:val="0"/>
                <w:sz w:val="28"/>
                <w:szCs w:val="32"/>
              </w:rPr>
            </w:pPr>
          </w:p>
        </w:tc>
        <w:tc>
          <w:tcPr>
            <w:tcW w:w="1247" w:type="dxa"/>
          </w:tcPr>
          <w:p>
            <w:pPr>
              <w:widowControl/>
              <w:outlineLvl w:val="1"/>
              <w:rPr>
                <w:rFonts w:ascii="仿宋_GB2312" w:hAnsi="宋体" w:eastAsia="仿宋_GB2312"/>
                <w:b/>
                <w:kern w:val="0"/>
                <w:sz w:val="28"/>
                <w:szCs w:val="32"/>
              </w:rPr>
            </w:pPr>
          </w:p>
        </w:tc>
        <w:tc>
          <w:tcPr>
            <w:tcW w:w="1504" w:type="dxa"/>
          </w:tcPr>
          <w:p>
            <w:pPr>
              <w:widowControl/>
              <w:outlineLvl w:val="1"/>
              <w:rPr>
                <w:rFonts w:ascii="仿宋_GB2312" w:hAnsi="宋体" w:eastAsia="仿宋_GB2312"/>
                <w:b/>
                <w:kern w:val="0"/>
                <w:sz w:val="28"/>
                <w:szCs w:val="32"/>
              </w:rPr>
            </w:pPr>
          </w:p>
        </w:tc>
        <w:tc>
          <w:tcPr>
            <w:tcW w:w="1528" w:type="dxa"/>
          </w:tcPr>
          <w:p>
            <w:pPr>
              <w:widowControl/>
              <w:outlineLvl w:val="1"/>
              <w:rPr>
                <w:rFonts w:ascii="仿宋_GB2312" w:hAnsi="宋体" w:eastAsia="仿宋_GB2312"/>
                <w:b/>
                <w:kern w:val="0"/>
                <w:sz w:val="28"/>
                <w:szCs w:val="32"/>
              </w:rPr>
            </w:pPr>
          </w:p>
        </w:tc>
      </w:tr>
    </w:tbl>
    <w:p>
      <w:pPr>
        <w:widowControl/>
        <w:outlineLvl w:val="1"/>
        <w:rPr>
          <w:rFonts w:eastAsia="仿宋_GB2312"/>
          <w:b/>
          <w:bCs/>
          <w:sz w:val="28"/>
          <w:szCs w:val="28"/>
        </w:rPr>
      </w:pPr>
      <w:r>
        <w:rPr>
          <w:rFonts w:eastAsia="仿宋_GB2312"/>
          <w:b/>
          <w:bCs/>
          <w:sz w:val="28"/>
          <w:szCs w:val="28"/>
        </w:rPr>
        <w:t>备注： 202</w:t>
      </w:r>
      <w:r>
        <w:rPr>
          <w:rFonts w:hint="eastAsia" w:eastAsia="仿宋_GB2312"/>
          <w:b/>
          <w:bCs/>
          <w:sz w:val="28"/>
          <w:szCs w:val="28"/>
        </w:rPr>
        <w:t>5</w:t>
      </w:r>
      <w:r>
        <w:rPr>
          <w:rFonts w:eastAsia="仿宋_GB2312"/>
          <w:b/>
          <w:bCs/>
          <w:sz w:val="28"/>
          <w:szCs w:val="28"/>
        </w:rPr>
        <w:t>年</w:t>
      </w:r>
      <w:r>
        <w:rPr>
          <w:rFonts w:hint="eastAsia" w:eastAsia="仿宋_GB2312"/>
          <w:b/>
          <w:bCs/>
          <w:sz w:val="28"/>
          <w:szCs w:val="28"/>
        </w:rPr>
        <w:t>本单位</w:t>
      </w:r>
      <w:r>
        <w:rPr>
          <w:rFonts w:hint="eastAsia" w:eastAsia="仿宋_GB2312"/>
          <w:b/>
          <w:bCs/>
          <w:sz w:val="28"/>
          <w:szCs w:val="28"/>
          <w:lang w:eastAsia="zh-CN"/>
        </w:rPr>
        <w:t>无财政拨款</w:t>
      </w:r>
      <w:r>
        <w:rPr>
          <w:rFonts w:eastAsia="仿宋_GB2312"/>
          <w:b/>
          <w:bCs/>
          <w:sz w:val="28"/>
          <w:szCs w:val="28"/>
        </w:rPr>
        <w:t>“三公”经费支出,此表为空表。</w:t>
      </w: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ind w:left="640"/>
        <w:jc w:val="center"/>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spacing w:line="600" w:lineRule="exact"/>
        <w:rPr>
          <w:rFonts w:ascii="仿宋" w:hAnsi="仿宋" w:eastAsia="仿宋" w:cs="仿宋_GB2312"/>
          <w:bCs/>
          <w:kern w:val="0"/>
          <w:sz w:val="28"/>
          <w:szCs w:val="28"/>
        </w:rPr>
      </w:pPr>
    </w:p>
    <w:p>
      <w:pPr>
        <w:widowControl/>
        <w:jc w:val="left"/>
        <w:textAlignment w:val="bottom"/>
        <w:rPr>
          <w:rFonts w:ascii="仿宋" w:hAnsi="仿宋" w:eastAsia="仿宋" w:cs="仿宋_GB2312"/>
          <w:bCs/>
          <w:kern w:val="0"/>
          <w:sz w:val="28"/>
          <w:szCs w:val="28"/>
        </w:rPr>
      </w:pPr>
      <w:r>
        <w:rPr>
          <w:rFonts w:hint="eastAsia" w:ascii="宋体" w:hAnsi="宋体" w:cs="宋体"/>
          <w:kern w:val="0"/>
          <w:sz w:val="20"/>
          <w:szCs w:val="20"/>
          <w:lang w:bidi="ar"/>
        </w:rPr>
        <w:t>表</w:t>
      </w:r>
      <w:r>
        <w:rPr>
          <w:rFonts w:ascii="宋体" w:hAnsi="宋体" w:cs="宋体"/>
          <w:kern w:val="0"/>
          <w:sz w:val="20"/>
          <w:szCs w:val="20"/>
          <w:lang w:bidi="ar"/>
        </w:rPr>
        <w:t>1</w:t>
      </w:r>
      <w:r>
        <w:rPr>
          <w:rFonts w:hint="eastAsia" w:ascii="宋体" w:hAnsi="宋体" w:cs="宋体"/>
          <w:kern w:val="0"/>
          <w:sz w:val="20"/>
          <w:szCs w:val="20"/>
          <w:lang w:bidi="ar"/>
        </w:rPr>
        <w:t>1</w:t>
      </w:r>
    </w:p>
    <w:p>
      <w:pPr>
        <w:spacing w:line="600" w:lineRule="exact"/>
        <w:ind w:firstLine="2891" w:firstLineChars="900"/>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上年结转</w:t>
      </w:r>
      <w:r>
        <w:rPr>
          <w:rFonts w:hint="eastAsia" w:ascii="仿宋_GB2312" w:hAnsi="宋体" w:eastAsia="仿宋_GB2312"/>
          <w:b/>
          <w:kern w:val="0"/>
          <w:sz w:val="32"/>
          <w:szCs w:val="32"/>
        </w:rPr>
        <w:t>结余</w:t>
      </w:r>
      <w:r>
        <w:rPr>
          <w:rFonts w:hint="eastAsia" w:ascii="仿宋_GB2312" w:hAnsi="宋体" w:eastAsia="仿宋_GB2312"/>
          <w:b/>
          <w:kern w:val="0"/>
          <w:sz w:val="32"/>
          <w:szCs w:val="32"/>
          <w:lang w:eastAsia="zh-Hans"/>
        </w:rPr>
        <w:t>情况明细表</w:t>
      </w:r>
    </w:p>
    <w:p>
      <w:pPr>
        <w:widowControl/>
        <w:jc w:val="left"/>
        <w:rPr>
          <w:rFonts w:ascii="仿宋_GB2312" w:hAnsi="宋体" w:eastAsia="仿宋_GB2312"/>
          <w:b/>
          <w:kern w:val="0"/>
          <w:sz w:val="24"/>
          <w:lang w:eastAsia="zh-Hans"/>
        </w:rPr>
      </w:pPr>
      <w:r>
        <w:rPr>
          <w:rFonts w:hint="eastAsia" w:ascii="仿宋_GB2312" w:hAnsi="宋体" w:eastAsia="仿宋_GB2312"/>
          <w:kern w:val="0"/>
          <w:sz w:val="24"/>
        </w:rPr>
        <w:t>编制单位： 焉耆回族自治县五号渠乡中心学校             单位：万元</w:t>
      </w:r>
    </w:p>
    <w:tbl>
      <w:tblPr>
        <w:tblStyle w:val="11"/>
        <w:tblpPr w:leftFromText="180" w:rightFromText="180" w:vertAnchor="text" w:horzAnchor="page" w:tblpX="1165" w:tblpY="190"/>
        <w:tblOverlap w:val="never"/>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800"/>
        <w:gridCol w:w="773"/>
        <w:gridCol w:w="800"/>
        <w:gridCol w:w="1320"/>
        <w:gridCol w:w="813"/>
        <w:gridCol w:w="720"/>
        <w:gridCol w:w="854"/>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20"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3693"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4760" w:type="dxa"/>
            <w:gridSpan w:val="4"/>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20" w:type="dxa"/>
            <w:vMerge w:val="continue"/>
            <w:vAlign w:val="center"/>
          </w:tcPr>
          <w:p>
            <w:pPr>
              <w:widowControl/>
              <w:spacing w:line="280" w:lineRule="exact"/>
              <w:jc w:val="center"/>
              <w:rPr>
                <w:rFonts w:ascii="仿宋_GB2312" w:hAnsi="宋体" w:eastAsia="仿宋_GB2312" w:cs="宋体"/>
                <w:b/>
                <w:bCs/>
                <w:kern w:val="0"/>
                <w:sz w:val="20"/>
                <w:szCs w:val="20"/>
              </w:rPr>
            </w:pPr>
          </w:p>
        </w:tc>
        <w:tc>
          <w:tcPr>
            <w:tcW w:w="800" w:type="dxa"/>
            <w:vMerge w:val="restart"/>
            <w:vAlign w:val="center"/>
          </w:tcPr>
          <w:p>
            <w:pPr>
              <w:widowControl/>
              <w:spacing w:line="280" w:lineRule="exact"/>
              <w:jc w:val="center"/>
              <w:rPr>
                <w:rFonts w:hint="eastAsia" w:ascii="仿宋_GB2312" w:hAnsi="宋体" w:eastAsia="仿宋_GB2312" w:cs="宋体"/>
                <w:b/>
                <w:bCs/>
                <w:kern w:val="0"/>
                <w:sz w:val="20"/>
                <w:szCs w:val="20"/>
                <w:lang w:eastAsia="zh-CN"/>
              </w:rPr>
            </w:pPr>
            <w:r>
              <w:rPr>
                <w:rFonts w:hint="eastAsia" w:ascii="仿宋_GB2312" w:hAnsi="宋体" w:eastAsia="仿宋_GB2312" w:cs="宋体"/>
                <w:b/>
                <w:bCs/>
                <w:kern w:val="0"/>
                <w:sz w:val="20"/>
                <w:szCs w:val="20"/>
                <w:lang w:eastAsia="zh-CN"/>
              </w:rPr>
              <w:t>合计</w:t>
            </w:r>
          </w:p>
        </w:tc>
        <w:tc>
          <w:tcPr>
            <w:tcW w:w="1573"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20"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813"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574" w:type="dxa"/>
            <w:gridSpan w:val="2"/>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2373" w:type="dxa"/>
            <w:vMerge w:val="restart"/>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20" w:type="dxa"/>
            <w:vMerge w:val="continue"/>
            <w:vAlign w:val="center"/>
          </w:tcPr>
          <w:p>
            <w:pPr>
              <w:spacing w:line="600" w:lineRule="exact"/>
              <w:jc w:val="center"/>
              <w:rPr>
                <w:rFonts w:ascii="仿宋" w:hAnsi="仿宋" w:eastAsia="仿宋" w:cs="仿宋_GB2312"/>
                <w:bCs/>
                <w:kern w:val="0"/>
                <w:sz w:val="28"/>
                <w:szCs w:val="28"/>
              </w:rPr>
            </w:pPr>
          </w:p>
        </w:tc>
        <w:tc>
          <w:tcPr>
            <w:tcW w:w="800" w:type="dxa"/>
            <w:vMerge w:val="continue"/>
            <w:vAlign w:val="center"/>
          </w:tcPr>
          <w:p>
            <w:pPr>
              <w:spacing w:line="600" w:lineRule="exact"/>
              <w:jc w:val="center"/>
              <w:rPr>
                <w:rFonts w:ascii="仿宋" w:hAnsi="仿宋" w:eastAsia="仿宋" w:cs="仿宋_GB2312"/>
                <w:bCs/>
                <w:kern w:val="0"/>
                <w:sz w:val="28"/>
                <w:szCs w:val="28"/>
              </w:rPr>
            </w:pPr>
          </w:p>
        </w:tc>
        <w:tc>
          <w:tcPr>
            <w:tcW w:w="773"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00"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20" w:type="dxa"/>
            <w:vMerge w:val="continue"/>
            <w:vAlign w:val="center"/>
          </w:tcPr>
          <w:p>
            <w:pPr>
              <w:spacing w:line="600" w:lineRule="exact"/>
              <w:jc w:val="center"/>
              <w:rPr>
                <w:rFonts w:ascii="仿宋" w:hAnsi="仿宋" w:eastAsia="仿宋" w:cs="仿宋_GB2312"/>
                <w:bCs/>
                <w:kern w:val="0"/>
                <w:sz w:val="28"/>
                <w:szCs w:val="28"/>
              </w:rPr>
            </w:pPr>
          </w:p>
        </w:tc>
        <w:tc>
          <w:tcPr>
            <w:tcW w:w="813" w:type="dxa"/>
            <w:vMerge w:val="continue"/>
            <w:vAlign w:val="center"/>
          </w:tcPr>
          <w:p>
            <w:pPr>
              <w:spacing w:line="600" w:lineRule="exact"/>
              <w:jc w:val="center"/>
              <w:rPr>
                <w:rFonts w:ascii="仿宋" w:hAnsi="仿宋" w:eastAsia="仿宋" w:cs="仿宋_GB2312"/>
                <w:bCs/>
                <w:kern w:val="0"/>
                <w:sz w:val="28"/>
                <w:szCs w:val="28"/>
              </w:rPr>
            </w:pPr>
          </w:p>
        </w:tc>
        <w:tc>
          <w:tcPr>
            <w:tcW w:w="720"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54" w:type="dxa"/>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2373" w:type="dxa"/>
            <w:vMerge w:val="continue"/>
            <w:vAlign w:val="center"/>
          </w:tcPr>
          <w:p>
            <w:pPr>
              <w:widowControl/>
              <w:spacing w:line="280" w:lineRule="exact"/>
              <w:jc w:val="center"/>
              <w:rPr>
                <w:rFonts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20" w:type="dxa"/>
            <w:vAlign w:val="center"/>
          </w:tcPr>
          <w:p>
            <w:pPr>
              <w:spacing w:line="600" w:lineRule="exact"/>
              <w:jc w:val="center"/>
              <w:rPr>
                <w:rFonts w:ascii="仿宋" w:hAnsi="仿宋" w:eastAsia="仿宋" w:cs="仿宋_GB2312"/>
                <w:bCs/>
                <w:kern w:val="0"/>
                <w:sz w:val="28"/>
                <w:szCs w:val="28"/>
              </w:rPr>
            </w:pPr>
          </w:p>
        </w:tc>
        <w:tc>
          <w:tcPr>
            <w:tcW w:w="800" w:type="dxa"/>
            <w:vAlign w:val="center"/>
          </w:tcPr>
          <w:p>
            <w:pPr>
              <w:spacing w:line="600" w:lineRule="exact"/>
              <w:jc w:val="center"/>
              <w:rPr>
                <w:rFonts w:ascii="仿宋" w:hAnsi="仿宋" w:eastAsia="仿宋" w:cs="仿宋_GB2312"/>
                <w:bCs/>
                <w:kern w:val="0"/>
                <w:sz w:val="28"/>
                <w:szCs w:val="28"/>
              </w:rPr>
            </w:pPr>
          </w:p>
        </w:tc>
        <w:tc>
          <w:tcPr>
            <w:tcW w:w="773" w:type="dxa"/>
            <w:vAlign w:val="center"/>
          </w:tcPr>
          <w:p>
            <w:pPr>
              <w:widowControl/>
              <w:spacing w:line="280" w:lineRule="exact"/>
              <w:jc w:val="center"/>
              <w:rPr>
                <w:rFonts w:ascii="仿宋_GB2312" w:hAnsi="宋体" w:eastAsia="仿宋_GB2312" w:cs="宋体"/>
                <w:b/>
                <w:bCs/>
                <w:kern w:val="0"/>
                <w:sz w:val="20"/>
                <w:szCs w:val="20"/>
              </w:rPr>
            </w:pPr>
          </w:p>
        </w:tc>
        <w:tc>
          <w:tcPr>
            <w:tcW w:w="800" w:type="dxa"/>
            <w:vAlign w:val="center"/>
          </w:tcPr>
          <w:p>
            <w:pPr>
              <w:widowControl/>
              <w:spacing w:line="280" w:lineRule="exact"/>
              <w:jc w:val="center"/>
              <w:rPr>
                <w:rFonts w:ascii="仿宋_GB2312" w:hAnsi="宋体" w:eastAsia="仿宋_GB2312" w:cs="宋体"/>
                <w:b/>
                <w:bCs/>
                <w:kern w:val="0"/>
                <w:sz w:val="20"/>
                <w:szCs w:val="20"/>
              </w:rPr>
            </w:pPr>
          </w:p>
        </w:tc>
        <w:tc>
          <w:tcPr>
            <w:tcW w:w="1320" w:type="dxa"/>
            <w:vAlign w:val="center"/>
          </w:tcPr>
          <w:p>
            <w:pPr>
              <w:spacing w:line="600" w:lineRule="exact"/>
              <w:jc w:val="center"/>
              <w:rPr>
                <w:rFonts w:ascii="仿宋" w:hAnsi="仿宋" w:eastAsia="仿宋" w:cs="仿宋_GB2312"/>
                <w:bCs/>
                <w:kern w:val="0"/>
                <w:sz w:val="28"/>
                <w:szCs w:val="28"/>
              </w:rPr>
            </w:pPr>
          </w:p>
        </w:tc>
        <w:tc>
          <w:tcPr>
            <w:tcW w:w="813" w:type="dxa"/>
            <w:vAlign w:val="center"/>
          </w:tcPr>
          <w:p>
            <w:pPr>
              <w:spacing w:line="600" w:lineRule="exact"/>
              <w:jc w:val="center"/>
              <w:rPr>
                <w:rFonts w:ascii="仿宋" w:hAnsi="仿宋" w:eastAsia="仿宋" w:cs="仿宋_GB2312"/>
                <w:bCs/>
                <w:kern w:val="0"/>
                <w:sz w:val="28"/>
                <w:szCs w:val="28"/>
              </w:rPr>
            </w:pPr>
          </w:p>
        </w:tc>
        <w:tc>
          <w:tcPr>
            <w:tcW w:w="720" w:type="dxa"/>
            <w:vAlign w:val="center"/>
          </w:tcPr>
          <w:p>
            <w:pPr>
              <w:spacing w:line="600" w:lineRule="exact"/>
              <w:jc w:val="center"/>
              <w:rPr>
                <w:rFonts w:ascii="仿宋" w:hAnsi="仿宋" w:eastAsia="仿宋" w:cs="仿宋_GB2312"/>
                <w:bCs/>
                <w:kern w:val="0"/>
                <w:sz w:val="28"/>
                <w:szCs w:val="28"/>
              </w:rPr>
            </w:pPr>
          </w:p>
        </w:tc>
        <w:tc>
          <w:tcPr>
            <w:tcW w:w="854" w:type="dxa"/>
            <w:vAlign w:val="center"/>
          </w:tcPr>
          <w:p>
            <w:pPr>
              <w:spacing w:line="600" w:lineRule="exact"/>
              <w:jc w:val="center"/>
              <w:rPr>
                <w:rFonts w:ascii="仿宋" w:hAnsi="仿宋" w:eastAsia="仿宋" w:cs="仿宋_GB2312"/>
                <w:bCs/>
                <w:kern w:val="0"/>
                <w:sz w:val="28"/>
                <w:szCs w:val="28"/>
              </w:rPr>
            </w:pPr>
          </w:p>
        </w:tc>
        <w:tc>
          <w:tcPr>
            <w:tcW w:w="2373"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20" w:type="dxa"/>
            <w:vAlign w:val="center"/>
          </w:tcPr>
          <w:p>
            <w:pPr>
              <w:spacing w:line="600" w:lineRule="exact"/>
              <w:jc w:val="center"/>
              <w:rPr>
                <w:rFonts w:ascii="仿宋" w:hAnsi="仿宋" w:eastAsia="仿宋" w:cs="仿宋_GB2312"/>
                <w:bCs/>
                <w:kern w:val="0"/>
                <w:sz w:val="28"/>
                <w:szCs w:val="28"/>
              </w:rPr>
            </w:pPr>
          </w:p>
        </w:tc>
        <w:tc>
          <w:tcPr>
            <w:tcW w:w="800" w:type="dxa"/>
            <w:vAlign w:val="center"/>
          </w:tcPr>
          <w:p>
            <w:pPr>
              <w:spacing w:line="600" w:lineRule="exact"/>
              <w:jc w:val="center"/>
              <w:rPr>
                <w:rFonts w:ascii="仿宋" w:hAnsi="仿宋" w:eastAsia="仿宋" w:cs="仿宋_GB2312"/>
                <w:bCs/>
                <w:kern w:val="0"/>
                <w:sz w:val="28"/>
                <w:szCs w:val="28"/>
              </w:rPr>
            </w:pPr>
          </w:p>
        </w:tc>
        <w:tc>
          <w:tcPr>
            <w:tcW w:w="773" w:type="dxa"/>
            <w:vAlign w:val="center"/>
          </w:tcPr>
          <w:p>
            <w:pPr>
              <w:widowControl/>
              <w:spacing w:line="280" w:lineRule="exact"/>
              <w:jc w:val="center"/>
              <w:rPr>
                <w:rFonts w:ascii="仿宋_GB2312" w:hAnsi="宋体" w:eastAsia="仿宋_GB2312" w:cs="宋体"/>
                <w:b/>
                <w:bCs/>
                <w:kern w:val="0"/>
                <w:sz w:val="20"/>
                <w:szCs w:val="20"/>
              </w:rPr>
            </w:pPr>
          </w:p>
        </w:tc>
        <w:tc>
          <w:tcPr>
            <w:tcW w:w="800" w:type="dxa"/>
            <w:vAlign w:val="center"/>
          </w:tcPr>
          <w:p>
            <w:pPr>
              <w:widowControl/>
              <w:spacing w:line="280" w:lineRule="exact"/>
              <w:jc w:val="center"/>
              <w:rPr>
                <w:rFonts w:ascii="仿宋_GB2312" w:hAnsi="宋体" w:eastAsia="仿宋_GB2312" w:cs="宋体"/>
                <w:b/>
                <w:bCs/>
                <w:kern w:val="0"/>
                <w:sz w:val="20"/>
                <w:szCs w:val="20"/>
              </w:rPr>
            </w:pPr>
          </w:p>
        </w:tc>
        <w:tc>
          <w:tcPr>
            <w:tcW w:w="1320" w:type="dxa"/>
            <w:vAlign w:val="center"/>
          </w:tcPr>
          <w:p>
            <w:pPr>
              <w:spacing w:line="600" w:lineRule="exact"/>
              <w:jc w:val="center"/>
              <w:rPr>
                <w:rFonts w:ascii="仿宋" w:hAnsi="仿宋" w:eastAsia="仿宋" w:cs="仿宋_GB2312"/>
                <w:bCs/>
                <w:kern w:val="0"/>
                <w:sz w:val="28"/>
                <w:szCs w:val="28"/>
              </w:rPr>
            </w:pPr>
          </w:p>
        </w:tc>
        <w:tc>
          <w:tcPr>
            <w:tcW w:w="813" w:type="dxa"/>
            <w:vAlign w:val="center"/>
          </w:tcPr>
          <w:p>
            <w:pPr>
              <w:spacing w:line="600" w:lineRule="exact"/>
              <w:jc w:val="center"/>
              <w:rPr>
                <w:rFonts w:ascii="仿宋" w:hAnsi="仿宋" w:eastAsia="仿宋" w:cs="仿宋_GB2312"/>
                <w:bCs/>
                <w:kern w:val="0"/>
                <w:sz w:val="28"/>
                <w:szCs w:val="28"/>
              </w:rPr>
            </w:pPr>
          </w:p>
        </w:tc>
        <w:tc>
          <w:tcPr>
            <w:tcW w:w="720" w:type="dxa"/>
            <w:vAlign w:val="center"/>
          </w:tcPr>
          <w:p>
            <w:pPr>
              <w:spacing w:line="600" w:lineRule="exact"/>
              <w:jc w:val="center"/>
              <w:rPr>
                <w:rFonts w:ascii="仿宋" w:hAnsi="仿宋" w:eastAsia="仿宋" w:cs="仿宋_GB2312"/>
                <w:bCs/>
                <w:kern w:val="0"/>
                <w:sz w:val="28"/>
                <w:szCs w:val="28"/>
              </w:rPr>
            </w:pPr>
          </w:p>
        </w:tc>
        <w:tc>
          <w:tcPr>
            <w:tcW w:w="854" w:type="dxa"/>
            <w:vAlign w:val="center"/>
          </w:tcPr>
          <w:p>
            <w:pPr>
              <w:spacing w:line="600" w:lineRule="exact"/>
              <w:jc w:val="center"/>
              <w:rPr>
                <w:rFonts w:ascii="仿宋" w:hAnsi="仿宋" w:eastAsia="仿宋" w:cs="仿宋_GB2312"/>
                <w:bCs/>
                <w:kern w:val="0"/>
                <w:sz w:val="28"/>
                <w:szCs w:val="28"/>
              </w:rPr>
            </w:pPr>
          </w:p>
        </w:tc>
        <w:tc>
          <w:tcPr>
            <w:tcW w:w="2373"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20" w:type="dxa"/>
            <w:vAlign w:val="center"/>
          </w:tcPr>
          <w:p>
            <w:pPr>
              <w:spacing w:line="600" w:lineRule="exact"/>
              <w:jc w:val="center"/>
              <w:rPr>
                <w:rFonts w:ascii="仿宋" w:hAnsi="仿宋" w:eastAsia="仿宋" w:cs="仿宋_GB2312"/>
                <w:bCs/>
                <w:kern w:val="0"/>
                <w:sz w:val="28"/>
                <w:szCs w:val="28"/>
              </w:rPr>
            </w:pPr>
          </w:p>
        </w:tc>
        <w:tc>
          <w:tcPr>
            <w:tcW w:w="800" w:type="dxa"/>
            <w:vAlign w:val="center"/>
          </w:tcPr>
          <w:p>
            <w:pPr>
              <w:spacing w:line="600" w:lineRule="exact"/>
              <w:jc w:val="center"/>
              <w:rPr>
                <w:rFonts w:ascii="仿宋" w:hAnsi="仿宋" w:eastAsia="仿宋" w:cs="仿宋_GB2312"/>
                <w:bCs/>
                <w:kern w:val="0"/>
                <w:sz w:val="28"/>
                <w:szCs w:val="28"/>
              </w:rPr>
            </w:pPr>
          </w:p>
        </w:tc>
        <w:tc>
          <w:tcPr>
            <w:tcW w:w="773" w:type="dxa"/>
            <w:vAlign w:val="center"/>
          </w:tcPr>
          <w:p>
            <w:pPr>
              <w:widowControl/>
              <w:spacing w:line="280" w:lineRule="exact"/>
              <w:jc w:val="center"/>
              <w:rPr>
                <w:rFonts w:ascii="仿宋_GB2312" w:hAnsi="宋体" w:eastAsia="仿宋_GB2312" w:cs="宋体"/>
                <w:b/>
                <w:bCs/>
                <w:kern w:val="0"/>
                <w:sz w:val="20"/>
                <w:szCs w:val="20"/>
              </w:rPr>
            </w:pPr>
          </w:p>
        </w:tc>
        <w:tc>
          <w:tcPr>
            <w:tcW w:w="800" w:type="dxa"/>
            <w:vAlign w:val="center"/>
          </w:tcPr>
          <w:p>
            <w:pPr>
              <w:widowControl/>
              <w:spacing w:line="280" w:lineRule="exact"/>
              <w:jc w:val="center"/>
              <w:rPr>
                <w:rFonts w:ascii="仿宋_GB2312" w:hAnsi="宋体" w:eastAsia="仿宋_GB2312" w:cs="宋体"/>
                <w:b/>
                <w:bCs/>
                <w:kern w:val="0"/>
                <w:sz w:val="20"/>
                <w:szCs w:val="20"/>
              </w:rPr>
            </w:pPr>
          </w:p>
        </w:tc>
        <w:tc>
          <w:tcPr>
            <w:tcW w:w="1320" w:type="dxa"/>
            <w:vAlign w:val="center"/>
          </w:tcPr>
          <w:p>
            <w:pPr>
              <w:spacing w:line="600" w:lineRule="exact"/>
              <w:jc w:val="center"/>
              <w:rPr>
                <w:rFonts w:ascii="仿宋" w:hAnsi="仿宋" w:eastAsia="仿宋" w:cs="仿宋_GB2312"/>
                <w:bCs/>
                <w:kern w:val="0"/>
                <w:sz w:val="28"/>
                <w:szCs w:val="28"/>
              </w:rPr>
            </w:pPr>
          </w:p>
        </w:tc>
        <w:tc>
          <w:tcPr>
            <w:tcW w:w="813" w:type="dxa"/>
            <w:vAlign w:val="center"/>
          </w:tcPr>
          <w:p>
            <w:pPr>
              <w:spacing w:line="600" w:lineRule="exact"/>
              <w:jc w:val="center"/>
              <w:rPr>
                <w:rFonts w:ascii="仿宋" w:hAnsi="仿宋" w:eastAsia="仿宋" w:cs="仿宋_GB2312"/>
                <w:bCs/>
                <w:kern w:val="0"/>
                <w:sz w:val="28"/>
                <w:szCs w:val="28"/>
              </w:rPr>
            </w:pPr>
          </w:p>
        </w:tc>
        <w:tc>
          <w:tcPr>
            <w:tcW w:w="720" w:type="dxa"/>
            <w:vAlign w:val="center"/>
          </w:tcPr>
          <w:p>
            <w:pPr>
              <w:spacing w:line="600" w:lineRule="exact"/>
              <w:jc w:val="center"/>
              <w:rPr>
                <w:rFonts w:ascii="仿宋" w:hAnsi="仿宋" w:eastAsia="仿宋" w:cs="仿宋_GB2312"/>
                <w:bCs/>
                <w:kern w:val="0"/>
                <w:sz w:val="28"/>
                <w:szCs w:val="28"/>
              </w:rPr>
            </w:pPr>
          </w:p>
        </w:tc>
        <w:tc>
          <w:tcPr>
            <w:tcW w:w="854" w:type="dxa"/>
            <w:vAlign w:val="center"/>
          </w:tcPr>
          <w:p>
            <w:pPr>
              <w:spacing w:line="600" w:lineRule="exact"/>
              <w:jc w:val="center"/>
              <w:rPr>
                <w:rFonts w:ascii="仿宋" w:hAnsi="仿宋" w:eastAsia="仿宋" w:cs="仿宋_GB2312"/>
                <w:bCs/>
                <w:kern w:val="0"/>
                <w:sz w:val="28"/>
                <w:szCs w:val="28"/>
              </w:rPr>
            </w:pPr>
          </w:p>
        </w:tc>
        <w:tc>
          <w:tcPr>
            <w:tcW w:w="2373" w:type="dxa"/>
            <w:vAlign w:val="center"/>
          </w:tcPr>
          <w:p>
            <w:pPr>
              <w:spacing w:line="600" w:lineRule="exact"/>
              <w:jc w:val="center"/>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0" w:type="dxa"/>
            <w:vAlign w:val="center"/>
          </w:tcPr>
          <w:p>
            <w:pPr>
              <w:spacing w:line="600" w:lineRule="exact"/>
              <w:jc w:val="center"/>
              <w:rPr>
                <w:rFonts w:ascii="仿宋" w:hAnsi="仿宋" w:eastAsia="仿宋" w:cs="仿宋_GB2312"/>
                <w:bCs/>
                <w:kern w:val="0"/>
                <w:sz w:val="28"/>
                <w:szCs w:val="28"/>
              </w:rPr>
            </w:pPr>
          </w:p>
        </w:tc>
        <w:tc>
          <w:tcPr>
            <w:tcW w:w="800" w:type="dxa"/>
            <w:vAlign w:val="center"/>
          </w:tcPr>
          <w:p>
            <w:pPr>
              <w:spacing w:line="600" w:lineRule="exact"/>
              <w:jc w:val="center"/>
              <w:rPr>
                <w:rFonts w:ascii="仿宋" w:hAnsi="仿宋" w:eastAsia="仿宋" w:cs="仿宋_GB2312"/>
                <w:bCs/>
                <w:kern w:val="0"/>
                <w:sz w:val="28"/>
                <w:szCs w:val="28"/>
              </w:rPr>
            </w:pPr>
            <w:r>
              <w:rPr>
                <w:rFonts w:hint="eastAsia" w:ascii="仿宋_GB2312" w:hAnsi="宋体" w:eastAsia="仿宋_GB2312" w:cs="宋体"/>
                <w:b/>
                <w:bCs/>
                <w:color w:val="auto"/>
                <w:kern w:val="0"/>
                <w:sz w:val="20"/>
                <w:szCs w:val="20"/>
                <w:highlight w:val="none"/>
                <w:lang w:val="en-US" w:eastAsia="zh-CN"/>
              </w:rPr>
              <w:t>总计</w:t>
            </w:r>
          </w:p>
        </w:tc>
        <w:tc>
          <w:tcPr>
            <w:tcW w:w="773" w:type="dxa"/>
            <w:vAlign w:val="center"/>
          </w:tcPr>
          <w:p>
            <w:pPr>
              <w:widowControl/>
              <w:spacing w:line="280" w:lineRule="exact"/>
              <w:jc w:val="center"/>
              <w:rPr>
                <w:rFonts w:ascii="仿宋_GB2312" w:hAnsi="宋体" w:eastAsia="仿宋_GB2312" w:cs="宋体"/>
                <w:b/>
                <w:bCs/>
                <w:kern w:val="0"/>
                <w:sz w:val="20"/>
                <w:szCs w:val="20"/>
              </w:rPr>
            </w:pPr>
          </w:p>
        </w:tc>
        <w:tc>
          <w:tcPr>
            <w:tcW w:w="800" w:type="dxa"/>
            <w:vAlign w:val="center"/>
          </w:tcPr>
          <w:p>
            <w:pPr>
              <w:widowControl/>
              <w:spacing w:line="280" w:lineRule="exact"/>
              <w:jc w:val="center"/>
              <w:rPr>
                <w:rFonts w:ascii="仿宋_GB2312" w:hAnsi="宋体" w:eastAsia="仿宋_GB2312" w:cs="宋体"/>
                <w:b/>
                <w:bCs/>
                <w:kern w:val="0"/>
                <w:sz w:val="20"/>
                <w:szCs w:val="20"/>
              </w:rPr>
            </w:pPr>
          </w:p>
        </w:tc>
        <w:tc>
          <w:tcPr>
            <w:tcW w:w="1320" w:type="dxa"/>
            <w:vAlign w:val="center"/>
          </w:tcPr>
          <w:p>
            <w:pPr>
              <w:spacing w:line="600" w:lineRule="exact"/>
              <w:jc w:val="center"/>
              <w:rPr>
                <w:rFonts w:ascii="仿宋" w:hAnsi="仿宋" w:eastAsia="仿宋" w:cs="仿宋_GB2312"/>
                <w:bCs/>
                <w:kern w:val="0"/>
                <w:sz w:val="28"/>
                <w:szCs w:val="28"/>
              </w:rPr>
            </w:pPr>
          </w:p>
        </w:tc>
        <w:tc>
          <w:tcPr>
            <w:tcW w:w="813" w:type="dxa"/>
            <w:vAlign w:val="center"/>
          </w:tcPr>
          <w:p>
            <w:pPr>
              <w:spacing w:line="600" w:lineRule="exact"/>
              <w:jc w:val="center"/>
              <w:rPr>
                <w:rFonts w:ascii="仿宋" w:hAnsi="仿宋" w:eastAsia="仿宋" w:cs="仿宋_GB2312"/>
                <w:bCs/>
                <w:kern w:val="0"/>
                <w:sz w:val="28"/>
                <w:szCs w:val="28"/>
              </w:rPr>
            </w:pPr>
          </w:p>
        </w:tc>
        <w:tc>
          <w:tcPr>
            <w:tcW w:w="720" w:type="dxa"/>
            <w:vAlign w:val="center"/>
          </w:tcPr>
          <w:p>
            <w:pPr>
              <w:spacing w:line="600" w:lineRule="exact"/>
              <w:jc w:val="center"/>
              <w:rPr>
                <w:rFonts w:ascii="仿宋" w:hAnsi="仿宋" w:eastAsia="仿宋" w:cs="仿宋_GB2312"/>
                <w:bCs/>
                <w:kern w:val="0"/>
                <w:sz w:val="28"/>
                <w:szCs w:val="28"/>
              </w:rPr>
            </w:pPr>
          </w:p>
        </w:tc>
        <w:tc>
          <w:tcPr>
            <w:tcW w:w="854" w:type="dxa"/>
            <w:vAlign w:val="center"/>
          </w:tcPr>
          <w:p>
            <w:pPr>
              <w:spacing w:line="600" w:lineRule="exact"/>
              <w:jc w:val="center"/>
              <w:rPr>
                <w:rFonts w:ascii="仿宋" w:hAnsi="仿宋" w:eastAsia="仿宋" w:cs="仿宋_GB2312"/>
                <w:bCs/>
                <w:kern w:val="0"/>
                <w:sz w:val="28"/>
                <w:szCs w:val="28"/>
              </w:rPr>
            </w:pPr>
          </w:p>
        </w:tc>
        <w:tc>
          <w:tcPr>
            <w:tcW w:w="2373" w:type="dxa"/>
            <w:vAlign w:val="center"/>
          </w:tcPr>
          <w:p>
            <w:pPr>
              <w:spacing w:line="600" w:lineRule="exact"/>
              <w:jc w:val="center"/>
              <w:rPr>
                <w:rFonts w:ascii="仿宋" w:hAnsi="仿宋" w:eastAsia="仿宋" w:cs="仿宋_GB2312"/>
                <w:bCs/>
                <w:kern w:val="0"/>
                <w:sz w:val="28"/>
                <w:szCs w:val="28"/>
              </w:rPr>
            </w:pPr>
          </w:p>
        </w:tc>
      </w:tr>
    </w:tbl>
    <w:p>
      <w:pPr>
        <w:pStyle w:val="2"/>
        <w:rPr>
          <w:rFonts w:hint="eastAsia" w:eastAsia="宋体"/>
          <w:lang w:val="en-US" w:eastAsia="zh-CN"/>
        </w:rPr>
      </w:pPr>
    </w:p>
    <w:p>
      <w:pPr>
        <w:pStyle w:val="2"/>
        <w:rPr>
          <w:rFonts w:hint="eastAsia" w:ascii="仿宋_GB2312" w:hAnsi="宋体" w:eastAsia="仿宋_GB2312" w:cs="Times New Roman"/>
          <w:b/>
          <w:color w:val="auto"/>
          <w:kern w:val="0"/>
          <w:sz w:val="28"/>
          <w:szCs w:val="32"/>
          <w:highlight w:val="none"/>
          <w:lang w:val="en-US" w:eastAsia="zh-CN" w:bidi="ar-SA"/>
        </w:rPr>
      </w:pPr>
    </w:p>
    <w:p>
      <w:pPr>
        <w:pStyle w:val="2"/>
        <w:rPr>
          <w:rFonts w:hint="eastAsia" w:ascii="仿宋_GB2312" w:hAnsi="宋体" w:eastAsia="仿宋_GB2312" w:cs="Times New Roman"/>
          <w:b/>
          <w:color w:val="auto"/>
          <w:kern w:val="0"/>
          <w:sz w:val="28"/>
          <w:szCs w:val="32"/>
          <w:highlight w:val="none"/>
          <w:lang w:val="en-US" w:eastAsia="zh-CN" w:bidi="ar-SA"/>
        </w:rPr>
      </w:pPr>
      <w:r>
        <w:rPr>
          <w:rFonts w:hint="eastAsia" w:ascii="仿宋_GB2312" w:hAnsi="宋体" w:eastAsia="仿宋_GB2312" w:cs="Times New Roman"/>
          <w:b/>
          <w:color w:val="auto"/>
          <w:kern w:val="0"/>
          <w:sz w:val="28"/>
          <w:szCs w:val="32"/>
          <w:highlight w:val="none"/>
          <w:lang w:val="en-US" w:eastAsia="zh-CN" w:bidi="ar-SA"/>
        </w:rPr>
        <w:t>备注：2025年本单位无上年结转结余情况，此表为空表。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仿宋_GB2312" w:hAnsi="黑体" w:eastAsia="仿宋_GB2312" w:cs="宋体"/>
          <w:b/>
          <w:bCs/>
          <w:kern w:val="0"/>
          <w:sz w:val="32"/>
          <w:szCs w:val="32"/>
        </w:rPr>
      </w:pPr>
    </w:p>
    <w:p>
      <w:pPr>
        <w:spacing w:line="600" w:lineRule="exact"/>
        <w:ind w:firstLine="640" w:firstLineChars="200"/>
        <w:jc w:val="center"/>
        <w:rPr>
          <w:rFonts w:eastAsia="黑体"/>
          <w:kern w:val="0"/>
          <w:sz w:val="32"/>
          <w:szCs w:val="32"/>
        </w:rPr>
      </w:pPr>
      <w:r>
        <w:rPr>
          <w:rFonts w:eastAsia="黑体"/>
          <w:kern w:val="0"/>
          <w:sz w:val="32"/>
          <w:szCs w:val="32"/>
        </w:rPr>
        <w:t>第三部分  2025年单位预算情况说明</w:t>
      </w:r>
    </w:p>
    <w:p>
      <w:pPr>
        <w:spacing w:line="600" w:lineRule="exact"/>
        <w:ind w:firstLine="643" w:firstLineChars="200"/>
        <w:rPr>
          <w:rFonts w:eastAsia="楷体_GB2312"/>
          <w:b/>
          <w:kern w:val="0"/>
          <w:sz w:val="32"/>
          <w:szCs w:val="32"/>
        </w:rPr>
      </w:pPr>
      <w:r>
        <w:rPr>
          <w:rFonts w:eastAsia="楷体_GB2312"/>
          <w:b/>
          <w:kern w:val="0"/>
          <w:sz w:val="32"/>
          <w:szCs w:val="32"/>
        </w:rPr>
        <w:t>一、关于焉耆回族自治县五号渠乡中心学校2025年收支预算情况的总体说明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按照全口径预算的原则，焉耆回族自治县五号渠乡中心学校2025年所有收入和支出均纳入单位预算管理。收支总预算1584.38万元。</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收入预算包括:一般公共预算、单位资金。</w:t>
      </w:r>
    </w:p>
    <w:p>
      <w:pPr>
        <w:spacing w:line="600" w:lineRule="exact"/>
        <w:ind w:firstLine="640" w:firstLineChars="200"/>
        <w:rPr>
          <w:rFonts w:eastAsia="仿宋_GB2312"/>
          <w:kern w:val="0"/>
          <w:sz w:val="32"/>
          <w:szCs w:val="32"/>
        </w:rPr>
      </w:pPr>
      <w:r>
        <w:rPr>
          <w:rFonts w:eastAsia="仿宋_GB2312"/>
          <w:kern w:val="0"/>
          <w:sz w:val="32"/>
          <w:szCs w:val="32"/>
        </w:rPr>
        <w:t>支出预算包括:教育支出。</w:t>
      </w:r>
    </w:p>
    <w:p>
      <w:pPr>
        <w:spacing w:line="600" w:lineRule="exact"/>
        <w:ind w:firstLine="643" w:firstLineChars="200"/>
        <w:rPr>
          <w:rFonts w:eastAsia="楷体_GB2312"/>
          <w:b/>
          <w:bCs/>
          <w:kern w:val="0"/>
          <w:sz w:val="32"/>
          <w:szCs w:val="32"/>
        </w:rPr>
      </w:pPr>
      <w:r>
        <w:rPr>
          <w:rFonts w:eastAsia="楷体_GB2312"/>
          <w:b/>
          <w:bCs/>
          <w:kern w:val="0"/>
          <w:sz w:val="32"/>
          <w:szCs w:val="32"/>
        </w:rPr>
        <w:t>二、关于焉耆回族自治县五号渠乡中心学校2025年收入预算情况说明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焉耆回族自治县五号渠乡中心学校收入预算1584.38万元，其中：</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一般公共预算1553.8</w:t>
      </w:r>
      <w:r>
        <w:rPr>
          <w:rFonts w:hint="eastAsia" w:eastAsia="仿宋_GB2312"/>
          <w:kern w:val="0"/>
          <w:sz w:val="32"/>
          <w:szCs w:val="32"/>
          <w:lang w:val="en-US" w:eastAsia="zh-CN"/>
        </w:rPr>
        <w:t>0</w:t>
      </w:r>
      <w:r>
        <w:rPr>
          <w:rFonts w:eastAsia="仿宋_GB2312"/>
          <w:kern w:val="0"/>
          <w:sz w:val="32"/>
          <w:szCs w:val="32"/>
        </w:rPr>
        <w:t>万元，占98.07%，比上年预算数减少140.81万元，下降8.31%，主要原因</w:t>
      </w:r>
      <w:r>
        <w:rPr>
          <w:rFonts w:hint="eastAsia" w:eastAsia="仿宋_GB2312"/>
          <w:kern w:val="0"/>
          <w:sz w:val="32"/>
          <w:szCs w:val="32"/>
          <w:lang w:eastAsia="zh-CN"/>
        </w:rPr>
        <w:t>是</w:t>
      </w:r>
      <w:r>
        <w:rPr>
          <w:rFonts w:eastAsia="仿宋_GB2312"/>
          <w:sz w:val="32"/>
          <w:szCs w:val="32"/>
        </w:rPr>
        <w:t>教师人数和学生人数减少</w:t>
      </w:r>
      <w:r>
        <w:rPr>
          <w:rFonts w:hint="eastAsia" w:eastAsia="仿宋_GB2312"/>
          <w:sz w:val="32"/>
          <w:szCs w:val="32"/>
          <w:lang w:eastAsia="zh-CN"/>
        </w:rPr>
        <w:t>，人员经费及公用经费相应减少。</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lang w:val="en-US" w:eastAsia="zh-Hans"/>
        </w:rPr>
        <w:t>上级</w:t>
      </w:r>
      <w:r>
        <w:rPr>
          <w:rFonts w:hint="default" w:ascii="Times New Roman" w:hAnsi="Times New Roman" w:eastAsia="仿宋_GB2312" w:cs="Times New Roman"/>
          <w:color w:val="auto"/>
          <w:kern w:val="0"/>
          <w:sz w:val="32"/>
          <w:szCs w:val="32"/>
          <w:highlight w:val="none"/>
        </w:rPr>
        <w:t>一般公共预算</w:t>
      </w:r>
      <w:r>
        <w:rPr>
          <w:rFonts w:hint="default"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88.38</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政府性基金预算未安排。</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Hans"/>
        </w:rPr>
        <w:t>上级政府性基金安排的转移支付资金</w:t>
      </w:r>
      <w:r>
        <w:rPr>
          <w:rFonts w:hint="default" w:ascii="Times New Roman" w:hAnsi="Times New Roman" w:eastAsia="仿宋_GB2312" w:cs="Times New Roman"/>
          <w:kern w:val="0"/>
          <w:sz w:val="32"/>
          <w:szCs w:val="32"/>
        </w:rPr>
        <w:t>未安排。</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国有资本经营预算未安排。</w:t>
      </w:r>
    </w:p>
    <w:p>
      <w:pPr>
        <w:spacing w:line="600" w:lineRule="exact"/>
        <w:ind w:firstLine="640" w:firstLineChars="200"/>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上级国有资本经营预算安排的转移支付资金未安排。</w:t>
      </w:r>
    </w:p>
    <w:p>
      <w:pPr>
        <w:spacing w:line="600" w:lineRule="exact"/>
        <w:ind w:firstLine="640" w:firstLineChars="200"/>
        <w:rPr>
          <w:rFonts w:eastAsia="仿宋_GB2312"/>
          <w:kern w:val="0"/>
          <w:sz w:val="32"/>
          <w:szCs w:val="32"/>
        </w:rPr>
      </w:pPr>
      <w:r>
        <w:rPr>
          <w:rFonts w:eastAsia="仿宋_GB2312"/>
          <w:kern w:val="0"/>
          <w:sz w:val="32"/>
          <w:szCs w:val="32"/>
        </w:rPr>
        <w:t>单位资金30.58万元，占1.93%，比上年预算数增加12.58万元，增长69.9%，主要原因</w:t>
      </w:r>
      <w:r>
        <w:rPr>
          <w:rFonts w:hint="eastAsia" w:eastAsia="仿宋_GB2312"/>
          <w:kern w:val="0"/>
          <w:sz w:val="32"/>
          <w:szCs w:val="32"/>
          <w:lang w:eastAsia="zh-CN"/>
        </w:rPr>
        <w:t>是本年度其他事业收入</w:t>
      </w:r>
      <w:r>
        <w:rPr>
          <w:rFonts w:eastAsia="仿宋_GB2312"/>
          <w:kern w:val="0"/>
          <w:sz w:val="32"/>
          <w:szCs w:val="32"/>
        </w:rPr>
        <w:t>伙食费和工会资金</w:t>
      </w:r>
      <w:r>
        <w:rPr>
          <w:rFonts w:hint="eastAsia" w:eastAsia="仿宋_GB2312"/>
          <w:kern w:val="0"/>
          <w:sz w:val="32"/>
          <w:szCs w:val="32"/>
          <w:lang w:eastAsia="zh-CN"/>
        </w:rPr>
        <w:t>增加</w:t>
      </w:r>
      <w:r>
        <w:rPr>
          <w:rFonts w:eastAsia="仿宋_GB2312"/>
          <w:kern w:val="0"/>
          <w:sz w:val="32"/>
          <w:szCs w:val="32"/>
        </w:rPr>
        <w:t>。</w:t>
      </w:r>
    </w:p>
    <w:p>
      <w:pPr>
        <w:spacing w:line="600" w:lineRule="exact"/>
        <w:ind w:firstLine="643" w:firstLineChars="200"/>
        <w:rPr>
          <w:rFonts w:eastAsia="楷体_GB2312"/>
          <w:b/>
          <w:bCs/>
          <w:kern w:val="0"/>
          <w:sz w:val="32"/>
          <w:szCs w:val="32"/>
        </w:rPr>
      </w:pPr>
      <w:r>
        <w:rPr>
          <w:rFonts w:eastAsia="楷体_GB2312"/>
          <w:b/>
          <w:bCs/>
          <w:kern w:val="0"/>
          <w:sz w:val="32"/>
          <w:szCs w:val="32"/>
        </w:rPr>
        <w:t>三、关于焉耆回族自治县五号渠乡中心学校2025年支出预算情况说明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焉耆回族自治县五号渠乡中心学校2025年支出预算1584.38万元，其中：</w:t>
      </w:r>
    </w:p>
    <w:p>
      <w:pPr>
        <w:spacing w:line="600" w:lineRule="exact"/>
        <w:ind w:firstLine="640" w:firstLineChars="200"/>
        <w:rPr>
          <w:rFonts w:eastAsia="仿宋_GB2312"/>
          <w:b/>
          <w:kern w:val="0"/>
          <w:sz w:val="32"/>
          <w:szCs w:val="32"/>
        </w:rPr>
      </w:pPr>
      <w:r>
        <w:rPr>
          <w:rFonts w:eastAsia="仿宋_GB2312"/>
          <w:kern w:val="0"/>
          <w:sz w:val="32"/>
          <w:szCs w:val="32"/>
        </w:rPr>
        <w:t>基本支出1584.38万元，占</w:t>
      </w:r>
      <w:r>
        <w:rPr>
          <w:rFonts w:hint="eastAsia" w:eastAsia="仿宋_GB2312"/>
          <w:kern w:val="0"/>
          <w:sz w:val="32"/>
          <w:szCs w:val="32"/>
          <w:lang w:val="en-US" w:eastAsia="zh-CN"/>
        </w:rPr>
        <w:t>100</w:t>
      </w:r>
      <w:r>
        <w:rPr>
          <w:rFonts w:eastAsia="仿宋_GB2312"/>
          <w:kern w:val="0"/>
          <w:sz w:val="32"/>
          <w:szCs w:val="32"/>
        </w:rPr>
        <w:t xml:space="preserve"> %，比上年预算减少  </w:t>
      </w:r>
      <w:r>
        <w:rPr>
          <w:rFonts w:hint="eastAsia" w:eastAsia="仿宋_GB2312"/>
          <w:kern w:val="0"/>
          <w:sz w:val="32"/>
          <w:szCs w:val="32"/>
          <w:lang w:val="en-US" w:eastAsia="zh-CN"/>
        </w:rPr>
        <w:t>128.23</w:t>
      </w:r>
      <w:r>
        <w:rPr>
          <w:rFonts w:eastAsia="仿宋_GB2312"/>
          <w:kern w:val="0"/>
          <w:sz w:val="32"/>
          <w:szCs w:val="32"/>
        </w:rPr>
        <w:t>万元，下降</w:t>
      </w:r>
      <w:r>
        <w:rPr>
          <w:rFonts w:hint="eastAsia" w:eastAsia="仿宋_GB2312"/>
          <w:kern w:val="0"/>
          <w:sz w:val="32"/>
          <w:szCs w:val="32"/>
          <w:lang w:val="en-US" w:eastAsia="zh-CN"/>
        </w:rPr>
        <w:t>7.49</w:t>
      </w:r>
      <w:r>
        <w:rPr>
          <w:rFonts w:eastAsia="仿宋_GB2312"/>
          <w:kern w:val="0"/>
          <w:sz w:val="32"/>
          <w:szCs w:val="32"/>
        </w:rPr>
        <w:t>%，主要原因是</w:t>
      </w:r>
      <w:r>
        <w:rPr>
          <w:rFonts w:eastAsia="仿宋_GB2312"/>
          <w:sz w:val="32"/>
          <w:szCs w:val="32"/>
        </w:rPr>
        <w:t>教师人数和学生人数减少</w:t>
      </w:r>
      <w:r>
        <w:rPr>
          <w:rFonts w:hint="eastAsia" w:eastAsia="仿宋_GB2312"/>
          <w:sz w:val="32"/>
          <w:szCs w:val="32"/>
          <w:lang w:eastAsia="zh-CN"/>
        </w:rPr>
        <w:t>，人员及公用经费相应减少</w:t>
      </w:r>
      <w:r>
        <w:rPr>
          <w:rFonts w:eastAsia="仿宋_GB2312"/>
          <w:kern w:val="0"/>
          <w:sz w:val="32"/>
          <w:szCs w:val="32"/>
        </w:rPr>
        <w:t>。</w:t>
      </w:r>
    </w:p>
    <w:p>
      <w:pPr>
        <w:spacing w:line="600" w:lineRule="exact"/>
        <w:ind w:firstLine="640" w:firstLineChars="200"/>
      </w:pPr>
      <w:r>
        <w:rPr>
          <w:rFonts w:eastAsia="仿宋_GB2312"/>
          <w:kern w:val="0"/>
          <w:sz w:val="32"/>
          <w:szCs w:val="32"/>
        </w:rPr>
        <w:t xml:space="preserve">项目支出 </w:t>
      </w:r>
      <w:r>
        <w:rPr>
          <w:rFonts w:hint="eastAsia" w:eastAsia="仿宋_GB2312"/>
          <w:kern w:val="0"/>
          <w:sz w:val="32"/>
          <w:szCs w:val="32"/>
          <w:lang w:val="en-US" w:eastAsia="zh-CN"/>
        </w:rPr>
        <w:t>0</w:t>
      </w:r>
      <w:r>
        <w:rPr>
          <w:rFonts w:eastAsia="仿宋_GB2312"/>
          <w:kern w:val="0"/>
          <w:sz w:val="32"/>
          <w:szCs w:val="32"/>
        </w:rPr>
        <w:t>万元，占</w:t>
      </w:r>
      <w:r>
        <w:rPr>
          <w:rFonts w:hint="eastAsia" w:eastAsia="仿宋_GB2312"/>
          <w:kern w:val="0"/>
          <w:sz w:val="32"/>
          <w:szCs w:val="32"/>
          <w:lang w:val="en-US" w:eastAsia="zh-CN"/>
        </w:rPr>
        <w:t>0</w:t>
      </w:r>
      <w:r>
        <w:rPr>
          <w:rFonts w:eastAsia="仿宋_GB2312"/>
          <w:kern w:val="0"/>
          <w:sz w:val="32"/>
          <w:szCs w:val="32"/>
        </w:rPr>
        <w:t>%，比上年预算减少</w:t>
      </w:r>
      <w:r>
        <w:rPr>
          <w:rFonts w:hint="eastAsia" w:eastAsia="仿宋_GB2312"/>
          <w:kern w:val="0"/>
          <w:sz w:val="32"/>
          <w:szCs w:val="32"/>
          <w:lang w:val="en-US" w:eastAsia="zh-CN"/>
        </w:rPr>
        <w:t>88.38</w:t>
      </w:r>
      <w:r>
        <w:rPr>
          <w:rFonts w:eastAsia="仿宋_GB2312"/>
          <w:kern w:val="0"/>
          <w:sz w:val="32"/>
          <w:szCs w:val="32"/>
        </w:rPr>
        <w:t>万元，下降</w:t>
      </w:r>
      <w:r>
        <w:rPr>
          <w:rFonts w:hint="eastAsia" w:eastAsia="仿宋_GB2312"/>
          <w:kern w:val="0"/>
          <w:sz w:val="32"/>
          <w:szCs w:val="32"/>
          <w:lang w:val="en-US" w:eastAsia="zh-CN"/>
        </w:rPr>
        <w:t>100</w:t>
      </w:r>
      <w:r>
        <w:rPr>
          <w:rFonts w:eastAsia="仿宋_GB2312"/>
          <w:kern w:val="0"/>
          <w:sz w:val="32"/>
          <w:szCs w:val="32"/>
        </w:rPr>
        <w:t xml:space="preserve"> %，主要原因是</w:t>
      </w:r>
      <w:r>
        <w:rPr>
          <w:rFonts w:hint="eastAsia" w:eastAsia="仿宋_GB2312"/>
          <w:kern w:val="0"/>
          <w:sz w:val="32"/>
          <w:szCs w:val="32"/>
        </w:rPr>
        <w:t>本年度项目预算资金由主管部门负责填报，故项目支出减少。</w:t>
      </w:r>
    </w:p>
    <w:p>
      <w:pPr>
        <w:spacing w:line="600" w:lineRule="exact"/>
        <w:ind w:firstLine="643" w:firstLineChars="200"/>
        <w:rPr>
          <w:rFonts w:eastAsia="楷体_GB2312"/>
          <w:b/>
          <w:bCs/>
          <w:kern w:val="0"/>
          <w:sz w:val="32"/>
          <w:szCs w:val="32"/>
        </w:rPr>
      </w:pPr>
      <w:r>
        <w:rPr>
          <w:rFonts w:eastAsia="楷体_GB2312"/>
          <w:b/>
          <w:bCs/>
          <w:kern w:val="0"/>
          <w:sz w:val="32"/>
          <w:szCs w:val="32"/>
        </w:rPr>
        <w:t>四、关于焉耆回族自治县五号渠乡中心学校2025年财政拨款收支预算情况的总体说明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2025年财政拨款收支总预算</w:t>
      </w:r>
      <w:r>
        <w:rPr>
          <w:rFonts w:hint="eastAsia" w:eastAsia="仿宋_GB2312"/>
          <w:kern w:val="0"/>
          <w:sz w:val="32"/>
          <w:szCs w:val="32"/>
        </w:rPr>
        <w:t>1553.8</w:t>
      </w:r>
      <w:r>
        <w:rPr>
          <w:rFonts w:hint="eastAsia" w:eastAsia="仿宋_GB2312"/>
          <w:kern w:val="0"/>
          <w:sz w:val="32"/>
          <w:szCs w:val="32"/>
          <w:lang w:val="en-US" w:eastAsia="zh-CN"/>
        </w:rPr>
        <w:t>0</w:t>
      </w:r>
      <w:r>
        <w:rPr>
          <w:rFonts w:eastAsia="仿宋_GB2312"/>
          <w:kern w:val="0"/>
          <w:sz w:val="32"/>
          <w:szCs w:val="32"/>
        </w:rPr>
        <w:t>万元。</w:t>
      </w:r>
    </w:p>
    <w:p>
      <w:pPr>
        <w:spacing w:line="600" w:lineRule="exact"/>
        <w:ind w:firstLine="640" w:firstLineChars="200"/>
        <w:rPr>
          <w:rFonts w:eastAsia="仿宋_GB2312"/>
          <w:kern w:val="0"/>
          <w:sz w:val="32"/>
          <w:szCs w:val="32"/>
        </w:rPr>
      </w:pPr>
      <w:r>
        <w:rPr>
          <w:rFonts w:hint="eastAsia" w:eastAsia="仿宋_GB2312"/>
          <w:kern w:val="0"/>
          <w:sz w:val="32"/>
          <w:szCs w:val="32"/>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w:t>
      </w:r>
      <w:r>
        <w:rPr>
          <w:rFonts w:hint="eastAsia" w:eastAsia="仿宋_GB2312"/>
          <w:kern w:val="0"/>
          <w:sz w:val="32"/>
          <w:szCs w:val="32"/>
        </w:rPr>
        <w:t>1553.8</w:t>
      </w:r>
      <w:r>
        <w:rPr>
          <w:rFonts w:hint="eastAsia" w:eastAsia="仿宋_GB2312"/>
          <w:kern w:val="0"/>
          <w:sz w:val="32"/>
          <w:szCs w:val="32"/>
          <w:lang w:val="en-US" w:eastAsia="zh-CN"/>
        </w:rPr>
        <w:t>0</w:t>
      </w:r>
      <w:r>
        <w:rPr>
          <w:rFonts w:eastAsia="仿宋_GB2312"/>
          <w:kern w:val="0"/>
          <w:sz w:val="32"/>
          <w:szCs w:val="32"/>
        </w:rPr>
        <w:t>万元。</w:t>
      </w:r>
    </w:p>
    <w:p>
      <w:pPr>
        <w:spacing w:line="600" w:lineRule="exact"/>
        <w:ind w:firstLine="640" w:firstLineChars="200"/>
        <w:rPr>
          <w:rFonts w:eastAsia="仿宋_GB2312"/>
          <w:kern w:val="0"/>
          <w:sz w:val="32"/>
          <w:szCs w:val="32"/>
        </w:rPr>
      </w:pPr>
      <w:r>
        <w:rPr>
          <w:rFonts w:eastAsia="仿宋_GB2312"/>
          <w:kern w:val="0"/>
          <w:sz w:val="32"/>
          <w:szCs w:val="32"/>
        </w:rPr>
        <w:t>一般公共预算支出包括:教育支出</w:t>
      </w:r>
      <w:r>
        <w:rPr>
          <w:rFonts w:hint="eastAsia" w:eastAsia="仿宋_GB2312"/>
          <w:kern w:val="0"/>
          <w:sz w:val="32"/>
          <w:szCs w:val="32"/>
        </w:rPr>
        <w:t>1553.8</w:t>
      </w:r>
      <w:r>
        <w:rPr>
          <w:rFonts w:hint="eastAsia" w:eastAsia="仿宋_GB2312"/>
          <w:kern w:val="0"/>
          <w:sz w:val="32"/>
          <w:szCs w:val="32"/>
          <w:lang w:val="en-US" w:eastAsia="zh-CN"/>
        </w:rPr>
        <w:t>0</w:t>
      </w:r>
      <w:r>
        <w:rPr>
          <w:rFonts w:eastAsia="仿宋_GB2312"/>
          <w:kern w:val="0"/>
          <w:sz w:val="32"/>
          <w:szCs w:val="32"/>
        </w:rPr>
        <w:t>万元，主要用于：</w:t>
      </w:r>
      <w:r>
        <w:rPr>
          <w:rStyle w:val="16"/>
          <w:rFonts w:ascii="Times New Roman" w:hAnsi="Times New Roman"/>
          <w:szCs w:val="22"/>
        </w:rPr>
        <w:t>教职工工资福利支出、社保缴费、住房公积金、退休费、其他对个人和家庭的补助支出及公用经费支出</w:t>
      </w:r>
      <w:r>
        <w:rPr>
          <w:rFonts w:eastAsia="仿宋_GB2312"/>
          <w:kern w:val="0"/>
          <w:sz w:val="32"/>
          <w:szCs w:val="32"/>
        </w:rPr>
        <w:t>。</w:t>
      </w:r>
    </w:p>
    <w:p>
      <w:pPr>
        <w:spacing w:line="600" w:lineRule="exact"/>
        <w:ind w:firstLine="643" w:firstLineChars="200"/>
        <w:rPr>
          <w:rFonts w:eastAsia="楷体_GB2312"/>
          <w:b/>
          <w:bCs/>
          <w:kern w:val="0"/>
          <w:sz w:val="32"/>
          <w:szCs w:val="32"/>
        </w:rPr>
      </w:pPr>
      <w:r>
        <w:rPr>
          <w:rFonts w:eastAsia="楷体_GB2312"/>
          <w:b/>
          <w:bCs/>
          <w:kern w:val="0"/>
          <w:sz w:val="32"/>
          <w:szCs w:val="32"/>
        </w:rPr>
        <w:t>五、关于焉耆回族自治县五号渠乡中心学校2025年一般公共预算当年拨款情况说明</w:t>
      </w:r>
    </w:p>
    <w:p>
      <w:pPr>
        <w:spacing w:line="600" w:lineRule="exact"/>
        <w:ind w:firstLine="643" w:firstLineChars="200"/>
        <w:rPr>
          <w:rFonts w:eastAsia="仿宋_GB2312"/>
          <w:b/>
          <w:kern w:val="0"/>
          <w:sz w:val="32"/>
          <w:szCs w:val="32"/>
        </w:rPr>
      </w:pPr>
      <w:r>
        <w:rPr>
          <w:rFonts w:eastAsia="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eastAsia="仿宋_GB2312"/>
          <w:kern w:val="0"/>
          <w:sz w:val="32"/>
          <w:szCs w:val="32"/>
        </w:rPr>
        <w:t>焉耆回族自治县五号渠乡中心学校2025年一般公共预算拨款合计1553.8</w:t>
      </w:r>
      <w:r>
        <w:rPr>
          <w:rFonts w:hint="eastAsia" w:eastAsia="仿宋_GB2312"/>
          <w:kern w:val="0"/>
          <w:sz w:val="32"/>
          <w:szCs w:val="32"/>
          <w:lang w:val="en-US" w:eastAsia="zh-CN"/>
        </w:rPr>
        <w:t>0</w:t>
      </w:r>
      <w:r>
        <w:rPr>
          <w:rFonts w:eastAsia="仿宋_GB2312"/>
          <w:kern w:val="0"/>
          <w:sz w:val="32"/>
          <w:szCs w:val="32"/>
        </w:rPr>
        <w:t>万元,其中：</w:t>
      </w:r>
    </w:p>
    <w:p>
      <w:pPr>
        <w:spacing w:line="600" w:lineRule="exact"/>
        <w:ind w:firstLine="640" w:firstLineChars="200"/>
        <w:rPr>
          <w:rFonts w:eastAsia="仿宋_GB2312"/>
          <w:b/>
          <w:kern w:val="0"/>
          <w:sz w:val="32"/>
          <w:szCs w:val="32"/>
        </w:rPr>
      </w:pPr>
      <w:r>
        <w:rPr>
          <w:rFonts w:eastAsia="仿宋_GB2312"/>
          <w:kern w:val="0"/>
          <w:sz w:val="32"/>
          <w:szCs w:val="32"/>
        </w:rPr>
        <w:t>基本支出1553.8</w:t>
      </w:r>
      <w:r>
        <w:rPr>
          <w:rFonts w:hint="eastAsia" w:eastAsia="仿宋_GB2312"/>
          <w:kern w:val="0"/>
          <w:sz w:val="32"/>
          <w:szCs w:val="32"/>
          <w:lang w:val="en-US" w:eastAsia="zh-CN"/>
        </w:rPr>
        <w:t>0</w:t>
      </w:r>
      <w:r>
        <w:rPr>
          <w:rFonts w:eastAsia="仿宋_GB2312"/>
          <w:kern w:val="0"/>
          <w:sz w:val="32"/>
          <w:szCs w:val="32"/>
        </w:rPr>
        <w:t xml:space="preserve">万元，占100 %，比上年预算减少  </w:t>
      </w:r>
      <w:r>
        <w:rPr>
          <w:rFonts w:hint="eastAsia" w:eastAsia="仿宋_GB2312"/>
          <w:kern w:val="0"/>
          <w:sz w:val="32"/>
          <w:szCs w:val="32"/>
          <w:lang w:val="en-US" w:eastAsia="zh-CN"/>
        </w:rPr>
        <w:t>140.81</w:t>
      </w:r>
      <w:r>
        <w:rPr>
          <w:rFonts w:eastAsia="仿宋_GB2312"/>
          <w:kern w:val="0"/>
          <w:sz w:val="32"/>
          <w:szCs w:val="32"/>
        </w:rPr>
        <w:t>万元，下降</w:t>
      </w:r>
      <w:r>
        <w:rPr>
          <w:rFonts w:hint="eastAsia" w:eastAsia="仿宋_GB2312"/>
          <w:kern w:val="0"/>
          <w:sz w:val="32"/>
          <w:szCs w:val="32"/>
          <w:lang w:val="en-US" w:eastAsia="zh-CN"/>
        </w:rPr>
        <w:t>8.31</w:t>
      </w:r>
      <w:r>
        <w:rPr>
          <w:rFonts w:eastAsia="仿宋_GB2312"/>
          <w:kern w:val="0"/>
          <w:sz w:val="32"/>
          <w:szCs w:val="32"/>
        </w:rPr>
        <w:t>%，主要原因是</w:t>
      </w:r>
      <w:r>
        <w:rPr>
          <w:rFonts w:eastAsia="仿宋_GB2312"/>
          <w:sz w:val="32"/>
          <w:szCs w:val="32"/>
        </w:rPr>
        <w:t>教师人数和学生人数减少</w:t>
      </w:r>
      <w:r>
        <w:rPr>
          <w:rFonts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 xml:space="preserve">项目支出 </w:t>
      </w:r>
      <w:r>
        <w:rPr>
          <w:rFonts w:hint="eastAsia" w:eastAsia="仿宋_GB2312"/>
          <w:kern w:val="0"/>
          <w:sz w:val="32"/>
          <w:szCs w:val="32"/>
          <w:lang w:val="en-US" w:eastAsia="zh-CN"/>
        </w:rPr>
        <w:t>0</w:t>
      </w:r>
      <w:r>
        <w:rPr>
          <w:rFonts w:eastAsia="仿宋_GB2312"/>
          <w:kern w:val="0"/>
          <w:sz w:val="32"/>
          <w:szCs w:val="32"/>
        </w:rPr>
        <w:t>万元，占</w:t>
      </w:r>
      <w:r>
        <w:rPr>
          <w:rFonts w:hint="eastAsia" w:eastAsia="仿宋_GB2312"/>
          <w:kern w:val="0"/>
          <w:sz w:val="32"/>
          <w:szCs w:val="32"/>
          <w:lang w:val="en-US" w:eastAsia="zh-CN"/>
        </w:rPr>
        <w:t>0</w:t>
      </w:r>
      <w:r>
        <w:rPr>
          <w:rFonts w:eastAsia="仿宋_GB2312"/>
          <w:kern w:val="0"/>
          <w:sz w:val="32"/>
          <w:szCs w:val="32"/>
        </w:rPr>
        <w:t>%，比上年预算减少</w:t>
      </w:r>
      <w:r>
        <w:rPr>
          <w:rFonts w:hint="eastAsia" w:eastAsia="仿宋_GB2312"/>
          <w:kern w:val="0"/>
          <w:sz w:val="32"/>
          <w:szCs w:val="32"/>
          <w:lang w:val="en-US" w:eastAsia="zh-CN"/>
        </w:rPr>
        <w:t>88.38</w:t>
      </w:r>
      <w:r>
        <w:rPr>
          <w:rFonts w:eastAsia="仿宋_GB2312"/>
          <w:kern w:val="0"/>
          <w:sz w:val="32"/>
          <w:szCs w:val="32"/>
        </w:rPr>
        <w:t>万元，下降</w:t>
      </w:r>
      <w:r>
        <w:rPr>
          <w:rFonts w:hint="eastAsia" w:eastAsia="仿宋_GB2312"/>
          <w:kern w:val="0"/>
          <w:sz w:val="32"/>
          <w:szCs w:val="32"/>
          <w:lang w:val="en-US" w:eastAsia="zh-CN"/>
        </w:rPr>
        <w:t>100</w:t>
      </w:r>
      <w:r>
        <w:rPr>
          <w:rFonts w:eastAsia="仿宋_GB2312"/>
          <w:kern w:val="0"/>
          <w:sz w:val="32"/>
          <w:szCs w:val="32"/>
        </w:rPr>
        <w:t>%，主要原因是</w:t>
      </w:r>
      <w:r>
        <w:rPr>
          <w:rFonts w:hint="eastAsia" w:eastAsia="仿宋_GB2312"/>
          <w:kern w:val="0"/>
          <w:sz w:val="32"/>
          <w:szCs w:val="32"/>
        </w:rPr>
        <w:t>本年度项目预算资金由主管部门负责填报，故项目支出减少。</w:t>
      </w:r>
    </w:p>
    <w:p>
      <w:pPr>
        <w:spacing w:line="600" w:lineRule="exact"/>
        <w:ind w:firstLine="643" w:firstLineChars="200"/>
        <w:rPr>
          <w:rFonts w:eastAsia="仿宋_GB2312"/>
          <w:b/>
          <w:kern w:val="0"/>
          <w:sz w:val="32"/>
          <w:szCs w:val="32"/>
        </w:rPr>
      </w:pPr>
      <w:r>
        <w:rPr>
          <w:rFonts w:eastAsia="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eastAsia="仿宋_GB2312"/>
          <w:sz w:val="32"/>
          <w:szCs w:val="32"/>
        </w:rPr>
        <w:t>1.教育支出（类）</w:t>
      </w:r>
      <w:r>
        <w:rPr>
          <w:rFonts w:hint="eastAsia" w:eastAsia="仿宋_GB2312"/>
          <w:sz w:val="32"/>
          <w:szCs w:val="32"/>
        </w:rPr>
        <w:t>1553.8</w:t>
      </w:r>
      <w:r>
        <w:rPr>
          <w:rFonts w:hint="eastAsia" w:eastAsia="仿宋_GB2312"/>
          <w:sz w:val="32"/>
          <w:szCs w:val="32"/>
          <w:lang w:val="en-US" w:eastAsia="zh-CN"/>
        </w:rPr>
        <w:t>0</w:t>
      </w:r>
      <w:r>
        <w:rPr>
          <w:rFonts w:eastAsia="仿宋_GB2312"/>
          <w:sz w:val="32"/>
          <w:szCs w:val="32"/>
        </w:rPr>
        <w:t>万元，占100%</w:t>
      </w:r>
      <w:r>
        <w:rPr>
          <w:rFonts w:eastAsia="仿宋_GB2312"/>
          <w:kern w:val="0"/>
          <w:sz w:val="32"/>
          <w:szCs w:val="32"/>
        </w:rPr>
        <w:t>。</w:t>
      </w:r>
    </w:p>
    <w:p>
      <w:pPr>
        <w:numPr>
          <w:ilvl w:val="0"/>
          <w:numId w:val="1"/>
        </w:numPr>
        <w:spacing w:line="600" w:lineRule="exact"/>
        <w:ind w:firstLine="643" w:firstLineChars="200"/>
        <w:rPr>
          <w:rFonts w:eastAsia="仿宋_GB2312"/>
          <w:b/>
          <w:kern w:val="0"/>
          <w:sz w:val="32"/>
          <w:szCs w:val="32"/>
        </w:rPr>
      </w:pPr>
      <w:r>
        <w:rPr>
          <w:rFonts w:eastAsia="仿宋_GB2312"/>
          <w:b/>
          <w:kern w:val="0"/>
          <w:sz w:val="32"/>
          <w:szCs w:val="32"/>
        </w:rPr>
        <w:t>一般公共预算当年拨款具体使用情况</w:t>
      </w:r>
    </w:p>
    <w:p>
      <w:pPr>
        <w:numPr>
          <w:numId w:val="0"/>
        </w:numPr>
        <w:spacing w:line="600" w:lineRule="exact"/>
        <w:ind w:firstLine="640" w:firstLineChars="200"/>
        <w:rPr>
          <w:rFonts w:hint="eastAsia"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教育支出（类）普通教育（款）小学教育（项）:2025年预算数为</w:t>
      </w:r>
      <w:r>
        <w:rPr>
          <w:rFonts w:eastAsia="仿宋_GB2312"/>
          <w:sz w:val="32"/>
          <w:szCs w:val="32"/>
        </w:rPr>
        <w:t>1</w:t>
      </w:r>
      <w:r>
        <w:rPr>
          <w:rFonts w:hint="eastAsia" w:eastAsia="仿宋_GB2312"/>
          <w:sz w:val="32"/>
          <w:szCs w:val="32"/>
        </w:rPr>
        <w:t>553.</w:t>
      </w:r>
      <w:r>
        <w:rPr>
          <w:rFonts w:eastAsia="仿宋_GB2312"/>
          <w:sz w:val="32"/>
          <w:szCs w:val="32"/>
        </w:rPr>
        <w:t>8</w:t>
      </w:r>
      <w:r>
        <w:rPr>
          <w:rFonts w:hint="eastAsia" w:eastAsia="仿宋_GB2312"/>
          <w:sz w:val="32"/>
          <w:szCs w:val="32"/>
          <w:lang w:val="en-US" w:eastAsia="zh-CN"/>
        </w:rPr>
        <w:t>0</w:t>
      </w:r>
      <w:r>
        <w:rPr>
          <w:rFonts w:eastAsia="仿宋_GB2312"/>
          <w:kern w:val="0"/>
          <w:sz w:val="32"/>
          <w:szCs w:val="32"/>
        </w:rPr>
        <w:t>万元，比上年预算数</w:t>
      </w:r>
      <w:r>
        <w:rPr>
          <w:rFonts w:hint="eastAsia" w:eastAsia="仿宋_GB2312"/>
          <w:kern w:val="0"/>
          <w:sz w:val="32"/>
          <w:szCs w:val="32"/>
          <w:lang w:eastAsia="zh-CN"/>
        </w:rPr>
        <w:t>增加</w:t>
      </w:r>
      <w:r>
        <w:rPr>
          <w:rFonts w:hint="eastAsia" w:eastAsia="仿宋_GB2312"/>
          <w:kern w:val="0"/>
          <w:sz w:val="32"/>
          <w:szCs w:val="32"/>
          <w:lang w:val="en-US" w:eastAsia="zh-CN"/>
        </w:rPr>
        <w:t>560.95</w:t>
      </w:r>
      <w:r>
        <w:rPr>
          <w:rFonts w:eastAsia="仿宋_GB2312"/>
          <w:kern w:val="0"/>
          <w:sz w:val="32"/>
          <w:szCs w:val="32"/>
        </w:rPr>
        <w:t>万元，</w:t>
      </w:r>
      <w:r>
        <w:rPr>
          <w:rFonts w:hint="eastAsia" w:eastAsia="仿宋_GB2312"/>
          <w:kern w:val="0"/>
          <w:sz w:val="32"/>
          <w:szCs w:val="32"/>
          <w:lang w:eastAsia="zh-CN"/>
        </w:rPr>
        <w:t>增长</w:t>
      </w:r>
      <w:r>
        <w:rPr>
          <w:rFonts w:hint="eastAsia" w:eastAsia="仿宋_GB2312"/>
          <w:kern w:val="0"/>
          <w:sz w:val="32"/>
          <w:szCs w:val="32"/>
          <w:lang w:val="en-US" w:eastAsia="zh-CN"/>
        </w:rPr>
        <w:t>56.50</w:t>
      </w:r>
      <w:r>
        <w:rPr>
          <w:rFonts w:eastAsia="仿宋_GB2312"/>
          <w:kern w:val="0"/>
          <w:sz w:val="32"/>
          <w:szCs w:val="32"/>
        </w:rPr>
        <w:t>%，主要原因是</w:t>
      </w:r>
      <w:r>
        <w:rPr>
          <w:rFonts w:hint="eastAsia" w:eastAsia="仿宋_GB2312"/>
          <w:kern w:val="0"/>
          <w:sz w:val="32"/>
          <w:szCs w:val="32"/>
        </w:rPr>
        <w:t>本年度教育支出（类）普通教育（款）学前教育（项）合并至此类款项。</w:t>
      </w:r>
    </w:p>
    <w:p>
      <w:pPr>
        <w:numPr>
          <w:numId w:val="0"/>
        </w:numPr>
        <w:spacing w:line="600" w:lineRule="exact"/>
        <w:ind w:firstLine="640" w:firstLineChars="200"/>
      </w:pPr>
      <w:r>
        <w:rPr>
          <w:rFonts w:hint="eastAsia" w:eastAsia="仿宋_GB2312"/>
          <w:kern w:val="0"/>
          <w:sz w:val="32"/>
          <w:szCs w:val="32"/>
          <w:lang w:val="en-US" w:eastAsia="zh-CN"/>
        </w:rPr>
        <w:t>2.</w:t>
      </w:r>
      <w:r>
        <w:rPr>
          <w:rFonts w:eastAsia="仿宋_GB2312"/>
          <w:kern w:val="0"/>
          <w:sz w:val="32"/>
          <w:szCs w:val="32"/>
          <w:lang w:val="en-US" w:eastAsia="zh-CN"/>
        </w:rPr>
        <w:t>教育支出（类）普通教育（款）学前教育（项）：</w:t>
      </w:r>
      <w:r>
        <w:rPr>
          <w:rFonts w:hint="default" w:eastAsia="仿宋_GB2312"/>
          <w:kern w:val="0"/>
          <w:sz w:val="32"/>
          <w:szCs w:val="32"/>
          <w:lang w:val="en-US" w:eastAsia="zh-CN"/>
        </w:rPr>
        <w:t>202</w:t>
      </w:r>
      <w:r>
        <w:rPr>
          <w:rFonts w:hint="eastAsia" w:eastAsia="仿宋_GB2312"/>
          <w:kern w:val="0"/>
          <w:sz w:val="32"/>
          <w:szCs w:val="32"/>
          <w:lang w:val="en-US" w:eastAsia="zh-CN"/>
        </w:rPr>
        <w:t>5年预算数为0万元，比上年预算减少</w:t>
      </w:r>
      <w:r>
        <w:rPr>
          <w:rFonts w:hint="default" w:eastAsia="仿宋_GB2312"/>
          <w:kern w:val="0"/>
          <w:sz w:val="32"/>
          <w:szCs w:val="32"/>
          <w:lang w:val="en-US" w:eastAsia="zh-CN"/>
        </w:rPr>
        <w:t>790.14</w:t>
      </w:r>
      <w:r>
        <w:rPr>
          <w:rFonts w:hint="eastAsia" w:eastAsia="仿宋_GB2312"/>
          <w:kern w:val="0"/>
          <w:sz w:val="32"/>
          <w:szCs w:val="32"/>
          <w:lang w:val="en-US" w:eastAsia="zh-CN"/>
        </w:rPr>
        <w:t>万元，下降</w:t>
      </w:r>
      <w:r>
        <w:rPr>
          <w:rFonts w:hint="default" w:eastAsia="仿宋_GB2312"/>
          <w:kern w:val="0"/>
          <w:sz w:val="32"/>
          <w:szCs w:val="32"/>
          <w:lang w:val="en-US" w:eastAsia="zh-CN"/>
        </w:rPr>
        <w:t>100 %</w:t>
      </w:r>
      <w:r>
        <w:rPr>
          <w:rFonts w:hint="eastAsia" w:eastAsia="仿宋_GB2312"/>
          <w:kern w:val="0"/>
          <w:sz w:val="32"/>
          <w:szCs w:val="32"/>
          <w:lang w:val="en-US" w:eastAsia="zh-CN"/>
        </w:rPr>
        <w:t>，主要原因是：本年度此类款项合并至</w:t>
      </w:r>
      <w:r>
        <w:rPr>
          <w:rFonts w:eastAsia="仿宋_GB2312"/>
          <w:kern w:val="0"/>
          <w:sz w:val="32"/>
          <w:szCs w:val="32"/>
        </w:rPr>
        <w:t>教育支出（类）普通教育（款）小学教育（项）</w:t>
      </w:r>
      <w:r>
        <w:rPr>
          <w:rFonts w:hint="eastAsia" w:eastAsia="仿宋_GB2312"/>
          <w:kern w:val="0"/>
          <w:sz w:val="32"/>
          <w:szCs w:val="32"/>
          <w:lang w:eastAsia="zh-CN"/>
        </w:rPr>
        <w:t>。</w:t>
      </w:r>
    </w:p>
    <w:p>
      <w:pPr>
        <w:spacing w:line="600" w:lineRule="exact"/>
        <w:ind w:firstLine="643" w:firstLineChars="200"/>
        <w:rPr>
          <w:rFonts w:eastAsia="楷体_GB2312"/>
          <w:b/>
          <w:bCs/>
          <w:kern w:val="0"/>
          <w:sz w:val="32"/>
          <w:szCs w:val="32"/>
        </w:rPr>
      </w:pPr>
      <w:r>
        <w:rPr>
          <w:rFonts w:eastAsia="楷体_GB2312"/>
          <w:b/>
          <w:bCs/>
          <w:kern w:val="0"/>
          <w:sz w:val="32"/>
          <w:szCs w:val="32"/>
        </w:rPr>
        <w:t>六、关于焉耆回族自治县五号渠乡中心学校2025年一般公共预算基本支出情况说明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焉耆回族自治县五号渠乡中心学校2025年一般公共预算基本支出1553.8万元，其中：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w:t>
      </w:r>
      <w:r>
        <w:rPr>
          <w:rFonts w:hint="eastAsia" w:eastAsia="仿宋_GB2312"/>
          <w:spacing w:val="-6"/>
          <w:kern w:val="0"/>
          <w:sz w:val="32"/>
          <w:szCs w:val="32"/>
          <w:lang w:val="en-US" w:eastAsia="zh-CN"/>
        </w:rPr>
        <w:t>1528.67万元，</w:t>
      </w:r>
      <w:r>
        <w:rPr>
          <w:rFonts w:hint="eastAsia" w:eastAsia="仿宋_GB2312"/>
          <w:spacing w:val="-6"/>
          <w:kern w:val="0"/>
          <w:sz w:val="32"/>
          <w:szCs w:val="32"/>
        </w:rPr>
        <w:t>主要</w:t>
      </w:r>
      <w:r>
        <w:rPr>
          <w:rFonts w:eastAsia="仿宋_GB2312"/>
          <w:spacing w:val="-6"/>
          <w:kern w:val="0"/>
          <w:sz w:val="32"/>
          <w:szCs w:val="32"/>
        </w:rPr>
        <w:t>包括:基本工资、津贴补贴、机关事业单位基本养老保险缴费、职业年金缴费、职工基本医疗保险缴费、其他社会保障缴费、住房公积金、退休费、生活补助。</w:t>
      </w:r>
    </w:p>
    <w:p>
      <w:pPr>
        <w:spacing w:line="600" w:lineRule="exact"/>
        <w:ind w:firstLine="616" w:firstLineChars="200"/>
        <w:rPr>
          <w:rFonts w:hint="eastAsia" w:eastAsia="仿宋_GB2312"/>
          <w:kern w:val="0"/>
          <w:sz w:val="32"/>
          <w:szCs w:val="32"/>
          <w:lang w:eastAsia="zh-CN"/>
        </w:rPr>
      </w:pPr>
      <w:r>
        <w:rPr>
          <w:rFonts w:eastAsia="仿宋_GB2312"/>
          <w:spacing w:val="-6"/>
          <w:kern w:val="0"/>
          <w:sz w:val="32"/>
          <w:szCs w:val="32"/>
        </w:rPr>
        <w:t>公用经费</w:t>
      </w:r>
      <w:r>
        <w:rPr>
          <w:rFonts w:hint="eastAsia" w:eastAsia="仿宋_GB2312"/>
          <w:spacing w:val="-6"/>
          <w:kern w:val="0"/>
          <w:sz w:val="32"/>
          <w:szCs w:val="32"/>
          <w:lang w:val="en-US" w:eastAsia="zh-CN"/>
        </w:rPr>
        <w:t>25.13万元，</w:t>
      </w:r>
      <w:r>
        <w:rPr>
          <w:rFonts w:hint="eastAsia" w:eastAsia="仿宋_GB2312"/>
          <w:spacing w:val="-6"/>
          <w:kern w:val="0"/>
          <w:sz w:val="32"/>
          <w:szCs w:val="32"/>
        </w:rPr>
        <w:t>主要</w:t>
      </w:r>
      <w:r>
        <w:rPr>
          <w:rFonts w:eastAsia="仿宋_GB2312"/>
          <w:spacing w:val="-6"/>
          <w:kern w:val="0"/>
          <w:sz w:val="32"/>
          <w:szCs w:val="32"/>
        </w:rPr>
        <w:t>包括:取暖费、福利费</w:t>
      </w:r>
      <w:r>
        <w:rPr>
          <w:rFonts w:hint="eastAsia" w:eastAsia="仿宋_GB2312"/>
          <w:spacing w:val="-6"/>
          <w:kern w:val="0"/>
          <w:sz w:val="32"/>
          <w:szCs w:val="32"/>
          <w:lang w:eastAsia="zh-CN"/>
        </w:rPr>
        <w:t>，培训费、</w:t>
      </w:r>
      <w:r>
        <w:rPr>
          <w:rFonts w:eastAsia="仿宋_GB2312"/>
          <w:spacing w:val="-6"/>
          <w:kern w:val="0"/>
          <w:sz w:val="32"/>
          <w:szCs w:val="32"/>
        </w:rPr>
        <w:t>工会经费</w:t>
      </w:r>
      <w:r>
        <w:rPr>
          <w:rFonts w:hint="eastAsia" w:eastAsia="仿宋_GB2312"/>
          <w:spacing w:val="-6"/>
          <w:kern w:val="0"/>
          <w:sz w:val="32"/>
          <w:szCs w:val="32"/>
          <w:lang w:eastAsia="zh-CN"/>
        </w:rPr>
        <w:t>。</w:t>
      </w:r>
    </w:p>
    <w:p>
      <w:pPr>
        <w:spacing w:line="600" w:lineRule="exact"/>
        <w:ind w:firstLine="643" w:firstLineChars="200"/>
        <w:rPr>
          <w:rFonts w:eastAsia="楷体_GB2312"/>
          <w:b/>
          <w:bCs/>
          <w:kern w:val="0"/>
          <w:sz w:val="32"/>
          <w:szCs w:val="32"/>
        </w:rPr>
      </w:pPr>
      <w:r>
        <w:rPr>
          <w:rFonts w:eastAsia="楷体_GB2312"/>
          <w:b/>
          <w:bCs/>
          <w:kern w:val="0"/>
          <w:sz w:val="32"/>
          <w:szCs w:val="32"/>
        </w:rPr>
        <w:t>七、关于焉耆回族自治县五号渠乡中心学校2025年一般公共预算项目支出情况说明</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焉耆回族自治县五号渠乡中心学校2025年没有使用一般公共预算项目支出，一般公共预算项目支出情况表为空表</w:t>
      </w:r>
      <w:r>
        <w:rPr>
          <w:rFonts w:hint="eastAsia" w:eastAsia="仿宋_GB2312"/>
          <w:kern w:val="0"/>
          <w:sz w:val="32"/>
          <w:szCs w:val="32"/>
          <w:lang w:eastAsia="zh-CN"/>
        </w:rPr>
        <w:t>。</w:t>
      </w:r>
    </w:p>
    <w:p>
      <w:pPr>
        <w:spacing w:line="600" w:lineRule="exact"/>
        <w:ind w:firstLine="643" w:firstLineChars="200"/>
        <w:rPr>
          <w:rFonts w:hint="eastAsia" w:eastAsia="楷体_GB2312"/>
          <w:b/>
          <w:bCs/>
          <w:kern w:val="0"/>
          <w:sz w:val="32"/>
          <w:szCs w:val="32"/>
          <w:lang w:eastAsia="zh-CN"/>
        </w:rPr>
      </w:pPr>
      <w:r>
        <w:rPr>
          <w:rFonts w:eastAsia="楷体_GB2312"/>
          <w:b/>
          <w:bCs/>
          <w:kern w:val="0"/>
          <w:sz w:val="32"/>
          <w:szCs w:val="32"/>
        </w:rPr>
        <w:t>八、关于焉耆回族自治县五号渠乡中心学校2025年政府性基金预算支出情况</w:t>
      </w:r>
      <w:r>
        <w:rPr>
          <w:rFonts w:hint="eastAsia" w:eastAsia="楷体_GB2312"/>
          <w:b/>
          <w:bCs/>
          <w:kern w:val="0"/>
          <w:sz w:val="32"/>
          <w:szCs w:val="32"/>
          <w:lang w:eastAsia="zh-CN"/>
        </w:rPr>
        <w:t>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焉耆回族自治县五号渠乡中心学校2025年没有使用政府性基金预算拨款安排的支出，政府性基金预算支出情况表为空表。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九、关于焉耆回族自治县五号渠乡中心学校2025年国有资本经营预算拨款情况说明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焉耆回族自治县五号渠乡中心学校202</w:t>
      </w:r>
      <w:r>
        <w:rPr>
          <w:rFonts w:hint="eastAsia" w:eastAsia="仿宋_GB2312"/>
          <w:kern w:val="0"/>
          <w:sz w:val="32"/>
          <w:szCs w:val="32"/>
          <w:lang w:val="en-US" w:eastAsia="zh-CN"/>
        </w:rPr>
        <w:t>5</w:t>
      </w:r>
      <w:r>
        <w:rPr>
          <w:rFonts w:eastAsia="仿宋_GB2312"/>
          <w:kern w:val="0"/>
          <w:sz w:val="32"/>
          <w:szCs w:val="32"/>
        </w:rPr>
        <w:t>年没有使用国有资本经营预算拨款安排的支出，国有资本经营预算支出情况表为空表。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十、关于焉耆回族自治县五号渠乡中心学校2025年财政拨款“三公”经费预算情况说明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kern w:val="0"/>
          <w:sz w:val="32"/>
          <w:szCs w:val="32"/>
        </w:rPr>
      </w:pPr>
      <w:r>
        <w:rPr>
          <w:rFonts w:eastAsia="仿宋_GB2312"/>
          <w:kern w:val="0"/>
          <w:sz w:val="32"/>
          <w:szCs w:val="32"/>
        </w:rPr>
        <w:t>焉耆回族自治县五号渠乡中心学校202</w:t>
      </w:r>
      <w:r>
        <w:rPr>
          <w:rFonts w:hint="eastAsia" w:eastAsia="仿宋_GB2312"/>
          <w:kern w:val="0"/>
          <w:sz w:val="32"/>
          <w:szCs w:val="32"/>
          <w:lang w:val="en-US" w:eastAsia="zh-CN"/>
        </w:rPr>
        <w:t>5</w:t>
      </w:r>
      <w:r>
        <w:rPr>
          <w:rFonts w:eastAsia="仿宋_GB2312"/>
          <w:kern w:val="0"/>
          <w:sz w:val="32"/>
          <w:szCs w:val="32"/>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p>
    <w:p>
      <w:pPr>
        <w:spacing w:line="600" w:lineRule="exact"/>
        <w:ind w:firstLine="640" w:firstLineChars="200"/>
        <w:rPr>
          <w:rFonts w:ascii="仿宋_GB2312" w:hAnsi="宋体" w:eastAsia="仿宋_GB2312" w:cs="宋体"/>
          <w:kern w:val="0"/>
          <w:sz w:val="32"/>
          <w:szCs w:val="32"/>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主要原因</w:t>
      </w:r>
      <w:r>
        <w:rPr>
          <w:rFonts w:hint="eastAsia" w:eastAsia="仿宋_GB2312" w:cs="Times New Roman"/>
          <w:kern w:val="0"/>
          <w:sz w:val="32"/>
          <w:szCs w:val="32"/>
          <w:highlight w:val="none"/>
          <w:lang w:eastAsia="zh-CN"/>
        </w:rPr>
        <w:t>本年度未安排预算</w:t>
      </w:r>
      <w:r>
        <w:rPr>
          <w:rFonts w:hint="default" w:ascii="Times New Roman" w:hAnsi="Times New Roman" w:eastAsia="仿宋_GB2312" w:cs="Times New Roman"/>
          <w:kern w:val="0"/>
          <w:sz w:val="32"/>
          <w:szCs w:val="32"/>
          <w:highlight w:val="none"/>
        </w:rPr>
        <w:t>；公务用车购置费增加0万元，增长0%，主要原因是本年度未安排预算；公务用车运行费增加0万元，增长0%，主要原因是本年度</w:t>
      </w:r>
      <w:r>
        <w:rPr>
          <w:rFonts w:hint="eastAsia"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w:t>
      </w:r>
      <w:r>
        <w:rPr>
          <w:rFonts w:hint="eastAsia" w:eastAsia="仿宋_GB2312" w:cs="Times New Roman"/>
          <w:kern w:val="0"/>
          <w:sz w:val="32"/>
          <w:szCs w:val="32"/>
          <w:highlight w:val="none"/>
          <w:lang w:val="en-US" w:eastAsia="zh-CN"/>
        </w:rPr>
        <w:t>未安排预算。</w:t>
      </w:r>
    </w:p>
    <w:p>
      <w:pPr>
        <w:spacing w:line="600" w:lineRule="exact"/>
        <w:ind w:firstLine="643" w:firstLineChars="200"/>
        <w:rPr>
          <w:rFonts w:eastAsia="仿宋_GB2312"/>
          <w:b/>
          <w:kern w:val="0"/>
          <w:sz w:val="32"/>
          <w:szCs w:val="32"/>
        </w:rPr>
      </w:pPr>
      <w:r>
        <w:rPr>
          <w:rFonts w:eastAsia="楷体_GB2312"/>
          <w:b/>
          <w:bCs/>
          <w:kern w:val="0"/>
          <w:sz w:val="32"/>
          <w:szCs w:val="32"/>
          <w:lang w:eastAsia="zh-Hans"/>
        </w:rPr>
        <w:t>十</w:t>
      </w:r>
      <w:r>
        <w:rPr>
          <w:rFonts w:eastAsia="楷体_GB2312"/>
          <w:b/>
          <w:bCs/>
          <w:kern w:val="0"/>
          <w:sz w:val="32"/>
          <w:szCs w:val="32"/>
        </w:rPr>
        <w:t>一、关于焉耆回族自治县五号渠乡中心学校2025年上年结转结余预算情况说明</w:t>
      </w:r>
    </w:p>
    <w:p>
      <w:pPr>
        <w:spacing w:line="560" w:lineRule="exact"/>
        <w:ind w:firstLine="640" w:firstLineChars="200"/>
      </w:pPr>
      <w:r>
        <w:rPr>
          <w:rFonts w:eastAsia="仿宋_GB2312"/>
          <w:kern w:val="0"/>
          <w:sz w:val="32"/>
          <w:szCs w:val="32"/>
        </w:rPr>
        <w:t>焉耆县五号渠乡中心学校2025年</w:t>
      </w:r>
      <w:r>
        <w:rPr>
          <w:rFonts w:hint="eastAsia" w:eastAsia="仿宋_GB2312"/>
          <w:kern w:val="0"/>
          <w:sz w:val="32"/>
          <w:szCs w:val="32"/>
          <w:lang w:eastAsia="zh-CN"/>
        </w:rPr>
        <w:t>没有</w:t>
      </w:r>
      <w:r>
        <w:rPr>
          <w:rFonts w:eastAsia="仿宋_GB2312"/>
          <w:kern w:val="0"/>
          <w:sz w:val="32"/>
          <w:szCs w:val="32"/>
        </w:rPr>
        <w:t>上年结转结余预算的支出，结转结余预算支出情况</w:t>
      </w:r>
      <w:r>
        <w:rPr>
          <w:rFonts w:hint="eastAsia" w:eastAsia="仿宋_GB2312"/>
          <w:kern w:val="0"/>
          <w:sz w:val="32"/>
          <w:szCs w:val="32"/>
          <w:lang w:eastAsia="zh-CN"/>
        </w:rPr>
        <w:t>明细</w:t>
      </w:r>
      <w:r>
        <w:rPr>
          <w:rFonts w:eastAsia="仿宋_GB2312"/>
          <w:kern w:val="0"/>
          <w:sz w:val="32"/>
          <w:szCs w:val="32"/>
        </w:rPr>
        <w:t>表为空表。</w:t>
      </w:r>
    </w:p>
    <w:p>
      <w:pPr>
        <w:spacing w:line="600" w:lineRule="exact"/>
        <w:ind w:firstLine="643" w:firstLineChars="200"/>
        <w:rPr>
          <w:rFonts w:eastAsia="楷体_GB2312"/>
          <w:b/>
          <w:bCs/>
          <w:kern w:val="0"/>
          <w:sz w:val="32"/>
          <w:szCs w:val="32"/>
        </w:rPr>
      </w:pPr>
      <w:r>
        <w:rPr>
          <w:rFonts w:eastAsia="楷体_GB2312"/>
          <w:b/>
          <w:bCs/>
          <w:kern w:val="0"/>
          <w:sz w:val="32"/>
          <w:szCs w:val="32"/>
          <w:lang w:eastAsia="zh-Hans"/>
        </w:rPr>
        <w:t>十</w:t>
      </w:r>
      <w:r>
        <w:rPr>
          <w:rFonts w:eastAsia="楷体_GB2312"/>
          <w:b/>
          <w:bCs/>
          <w:kern w:val="0"/>
          <w:sz w:val="32"/>
          <w:szCs w:val="32"/>
        </w:rPr>
        <w:t>二、其他重要事项的情况说明</w:t>
      </w:r>
    </w:p>
    <w:p>
      <w:pPr>
        <w:spacing w:line="600" w:lineRule="exact"/>
        <w:ind w:firstLine="643" w:firstLineChars="200"/>
        <w:rPr>
          <w:rFonts w:eastAsia="仿宋_GB2312"/>
          <w:kern w:val="0"/>
          <w:sz w:val="32"/>
          <w:szCs w:val="32"/>
        </w:rPr>
      </w:pPr>
      <w:r>
        <w:rPr>
          <w:rFonts w:eastAsia="仿宋_GB2312"/>
          <w:b/>
          <w:kern w:val="0"/>
          <w:sz w:val="32"/>
          <w:szCs w:val="32"/>
        </w:rPr>
        <w:t>（一）单位运行经费情况</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焉耆回族自治县五号渠乡中心学校2025年的事业单位运行经费25.13万元，比上年预算增加</w:t>
      </w:r>
      <w:r>
        <w:rPr>
          <w:rFonts w:hint="eastAsia" w:eastAsia="仿宋_GB2312"/>
          <w:kern w:val="0"/>
          <w:sz w:val="32"/>
          <w:szCs w:val="32"/>
          <w:lang w:val="en-US" w:eastAsia="zh-CN"/>
        </w:rPr>
        <w:t>3.57</w:t>
      </w:r>
      <w:r>
        <w:rPr>
          <w:rFonts w:eastAsia="仿宋_GB2312"/>
          <w:kern w:val="0"/>
          <w:sz w:val="32"/>
          <w:szCs w:val="32"/>
        </w:rPr>
        <w:t>万元，增长</w:t>
      </w:r>
      <w:r>
        <w:rPr>
          <w:rFonts w:hint="eastAsia" w:eastAsia="仿宋_GB2312"/>
          <w:kern w:val="0"/>
          <w:sz w:val="32"/>
          <w:szCs w:val="32"/>
          <w:lang w:val="en-US" w:eastAsia="zh-CN"/>
        </w:rPr>
        <w:t>16.56</w:t>
      </w:r>
      <w:r>
        <w:rPr>
          <w:rFonts w:eastAsia="仿宋_GB2312"/>
          <w:kern w:val="0"/>
          <w:sz w:val="32"/>
          <w:szCs w:val="32"/>
        </w:rPr>
        <w:t>%。主要原因是</w:t>
      </w:r>
      <w:r>
        <w:rPr>
          <w:rFonts w:hint="eastAsia" w:eastAsia="仿宋_GB2312"/>
          <w:kern w:val="0"/>
          <w:sz w:val="32"/>
          <w:szCs w:val="32"/>
          <w:lang w:eastAsia="zh-CN"/>
        </w:rPr>
        <w:t>本年度增加培训费。</w:t>
      </w:r>
    </w:p>
    <w:p>
      <w:pPr>
        <w:spacing w:line="600" w:lineRule="exact"/>
        <w:ind w:firstLine="643" w:firstLineChars="200"/>
        <w:rPr>
          <w:rFonts w:eastAsia="仿宋_GB2312"/>
          <w:b/>
          <w:kern w:val="0"/>
          <w:sz w:val="32"/>
          <w:szCs w:val="32"/>
        </w:rPr>
      </w:pPr>
      <w:r>
        <w:rPr>
          <w:rFonts w:eastAsia="仿宋_GB2312"/>
          <w:b/>
          <w:kern w:val="0"/>
          <w:sz w:val="32"/>
          <w:szCs w:val="32"/>
        </w:rPr>
        <w:t>（二）政府采购情况</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2025年，焉耆回族自治县五号渠乡中心学校政府采购预算52.11万元，其中：政府采购货物预算 20万元，政府采购工程预算0万元，政府采购服务预算 32.11万元。</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2025年，焉耆回族自治县五号渠乡中心学校面向中小企业预留政府采购项目预算金额 52.11万元，小微企业预留政府采购项目预算金额 52.11万元。</w:t>
      </w:r>
    </w:p>
    <w:p>
      <w:pPr>
        <w:spacing w:line="600" w:lineRule="exact"/>
        <w:ind w:firstLine="643" w:firstLineChars="200"/>
        <w:rPr>
          <w:rFonts w:eastAsia="仿宋_GB2312"/>
          <w:b/>
          <w:kern w:val="0"/>
          <w:sz w:val="32"/>
          <w:szCs w:val="32"/>
        </w:rPr>
      </w:pPr>
      <w:r>
        <w:rPr>
          <w:rFonts w:eastAsia="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eastAsia="仿宋_GB2312"/>
          <w:kern w:val="0"/>
          <w:sz w:val="32"/>
          <w:szCs w:val="32"/>
        </w:rPr>
        <w:t>截至2024年底，焉耆回族自治县五号渠乡中心学校及下属各预算单位占用使用国有资产总体情况为：</w:t>
      </w:r>
    </w:p>
    <w:p>
      <w:pPr>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w:t>
      </w:r>
      <w:r>
        <w:rPr>
          <w:rFonts w:eastAsia="仿宋_GB2312"/>
          <w:kern w:val="0"/>
          <w:sz w:val="32"/>
          <w:szCs w:val="32"/>
        </w:rPr>
        <w:t>房屋17673.78平方米，价值1880.11万元。</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2</w:t>
      </w:r>
      <w:r>
        <w:rPr>
          <w:rFonts w:hint="eastAsia" w:eastAsia="仿宋_GB2312"/>
          <w:kern w:val="0"/>
          <w:sz w:val="32"/>
          <w:szCs w:val="32"/>
          <w:lang w:val="en-US" w:eastAsia="zh-CN"/>
        </w:rPr>
        <w:t>.</w:t>
      </w:r>
      <w:r>
        <w:rPr>
          <w:rFonts w:eastAsia="仿宋_GB2312"/>
          <w:kern w:val="0"/>
          <w:sz w:val="32"/>
          <w:szCs w:val="32"/>
        </w:rPr>
        <w:t>车辆0辆，价值0万元。其中：一般公务用车0辆，价值0万元，执法执勤用车0辆，价值0万元，其他用车0辆，价值0万元</w:t>
      </w:r>
      <w:r>
        <w:rPr>
          <w:rFonts w:hint="eastAsia" w:eastAsia="仿宋_GB2312"/>
          <w:kern w:val="0"/>
          <w:sz w:val="32"/>
          <w:szCs w:val="32"/>
          <w:lang w:eastAsia="zh-CN"/>
        </w:rPr>
        <w:t>。</w:t>
      </w:r>
    </w:p>
    <w:p>
      <w:pPr>
        <w:spacing w:line="60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lang w:val="en-US" w:eastAsia="zh-CN"/>
        </w:rPr>
        <w:t>.</w:t>
      </w:r>
      <w:r>
        <w:rPr>
          <w:rFonts w:eastAsia="仿宋_GB2312"/>
          <w:kern w:val="0"/>
          <w:sz w:val="32"/>
          <w:szCs w:val="32"/>
        </w:rPr>
        <w:t>办公家具价值</w:t>
      </w:r>
      <w:r>
        <w:rPr>
          <w:rStyle w:val="16"/>
          <w:rFonts w:ascii="Times New Roman" w:hAnsi="Times New Roman"/>
          <w:szCs w:val="22"/>
        </w:rPr>
        <w:t>108.52</w:t>
      </w:r>
      <w:r>
        <w:rPr>
          <w:rFonts w:eastAsia="仿宋_GB2312"/>
          <w:kern w:val="0"/>
          <w:sz w:val="32"/>
          <w:szCs w:val="32"/>
        </w:rPr>
        <w:t>万元。</w:t>
      </w:r>
    </w:p>
    <w:p>
      <w:pPr>
        <w:spacing w:line="60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lang w:val="en-US" w:eastAsia="zh-CN"/>
        </w:rPr>
        <w:t>.</w:t>
      </w:r>
      <w:r>
        <w:rPr>
          <w:rFonts w:eastAsia="仿宋_GB2312"/>
          <w:kern w:val="0"/>
          <w:sz w:val="32"/>
          <w:szCs w:val="32"/>
        </w:rPr>
        <w:t>其他资产价值1771.6万元。</w:t>
      </w:r>
    </w:p>
    <w:p>
      <w:pPr>
        <w:spacing w:line="600" w:lineRule="exact"/>
        <w:ind w:firstLine="640" w:firstLineChars="200"/>
        <w:rPr>
          <w:rFonts w:eastAsia="仿宋_GB2312"/>
          <w:kern w:val="0"/>
          <w:sz w:val="32"/>
          <w:szCs w:val="32"/>
        </w:rPr>
      </w:pPr>
      <w:r>
        <w:rPr>
          <w:rFonts w:eastAsia="仿宋_GB2312"/>
          <w:kern w:val="0"/>
          <w:sz w:val="32"/>
          <w:szCs w:val="32"/>
        </w:rPr>
        <w:t>单位价值50万元以上大型设备 台，单位价值100万元以上大型设备</w:t>
      </w:r>
      <w:r>
        <w:rPr>
          <w:rFonts w:hint="eastAsia" w:eastAsia="仿宋_GB2312"/>
          <w:kern w:val="0"/>
          <w:sz w:val="32"/>
          <w:szCs w:val="32"/>
          <w:lang w:val="en-US" w:eastAsia="zh-CN"/>
        </w:rPr>
        <w:t>0</w:t>
      </w:r>
      <w:r>
        <w:rPr>
          <w:rFonts w:eastAsia="仿宋_GB2312"/>
          <w:kern w:val="0"/>
          <w:sz w:val="32"/>
          <w:szCs w:val="32"/>
        </w:rPr>
        <w:t>台。</w:t>
      </w:r>
    </w:p>
    <w:p>
      <w:pPr>
        <w:spacing w:line="600" w:lineRule="exact"/>
        <w:ind w:firstLine="640" w:firstLineChars="200"/>
        <w:rPr>
          <w:rFonts w:eastAsia="仿宋_GB2312"/>
          <w:kern w:val="0"/>
          <w:sz w:val="32"/>
          <w:szCs w:val="32"/>
        </w:rPr>
      </w:pPr>
      <w:r>
        <w:rPr>
          <w:rFonts w:eastAsia="仿宋_GB2312"/>
          <w:kern w:val="0"/>
          <w:sz w:val="32"/>
          <w:szCs w:val="32"/>
        </w:rPr>
        <w:t>2025年单位预算未安排购置车辆经费,安排购置50万元以上大型设备0 台，单位价值100万元以上大型设备0 台。</w:t>
      </w:r>
    </w:p>
    <w:p>
      <w:pPr>
        <w:spacing w:line="600" w:lineRule="exact"/>
        <w:ind w:firstLine="643" w:firstLineChars="200"/>
        <w:rPr>
          <w:rFonts w:eastAsia="仿宋_GB2312"/>
          <w:kern w:val="0"/>
          <w:sz w:val="32"/>
          <w:szCs w:val="32"/>
        </w:rPr>
      </w:pPr>
      <w:r>
        <w:rPr>
          <w:rFonts w:eastAsia="仿宋_GB2312"/>
          <w:b/>
          <w:kern w:val="0"/>
          <w:sz w:val="32"/>
          <w:szCs w:val="32"/>
        </w:rPr>
        <w:t>（四）预算绩效情况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整体预算绩效目标1个，涉及预算金额1584.38万元；当年预算安排项目共0个，其中: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spacing w:line="600" w:lineRule="exact"/>
        <w:rPr>
          <w:rFonts w:eastAsia="仿宋_GB2312"/>
          <w:kern w:val="0"/>
          <w:sz w:val="32"/>
          <w:szCs w:val="32"/>
        </w:rPr>
      </w:pPr>
    </w:p>
    <w:tbl>
      <w:tblPr>
        <w:tblStyle w:val="10"/>
        <w:tblpPr w:leftFromText="180" w:rightFromText="180" w:vertAnchor="text" w:horzAnchor="page" w:tblpX="1210" w:tblpY="-1043"/>
        <w:tblOverlap w:val="never"/>
        <w:tblW w:w="9340" w:type="dxa"/>
        <w:tblInd w:w="0" w:type="dxa"/>
        <w:tblLayout w:type="fixed"/>
        <w:tblCellMar>
          <w:top w:w="0" w:type="dxa"/>
          <w:left w:w="108" w:type="dxa"/>
          <w:bottom w:w="0" w:type="dxa"/>
          <w:right w:w="108" w:type="dxa"/>
        </w:tblCellMar>
      </w:tblPr>
      <w:tblGrid>
        <w:gridCol w:w="1122"/>
        <w:gridCol w:w="1367"/>
        <w:gridCol w:w="1657"/>
        <w:gridCol w:w="1271"/>
        <w:gridCol w:w="2114"/>
        <w:gridCol w:w="1809"/>
      </w:tblGrid>
      <w:tr>
        <w:tblPrEx>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widowControl/>
              <w:ind w:firstLine="2891" w:firstLineChars="900"/>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ascii="仿宋_GB2312" w:hAnsi="宋体" w:eastAsia="仿宋_GB2312" w:cs="仿宋_GB2312"/>
                <w:b/>
                <w:color w:val="000000"/>
                <w:kern w:val="0"/>
                <w:sz w:val="32"/>
                <w:szCs w:val="32"/>
                <w:lang w:bidi="ar"/>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54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color w:val="000000"/>
                <w:sz w:val="20"/>
                <w:szCs w:val="20"/>
              </w:rPr>
              <w:t>焉耆县五号渠乡中心学校</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米日古丽</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ascii="宋体" w:hAnsi="宋体" w:cs="宋体"/>
                <w:color w:val="000000"/>
                <w:sz w:val="20"/>
                <w:szCs w:val="20"/>
              </w:rPr>
              <w:t>13379763938</w:t>
            </w:r>
          </w:p>
        </w:tc>
      </w:tr>
      <w:tr>
        <w:tblPrEx>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ascii="宋体" w:hAnsi="宋体" w:cs="宋体"/>
                <w:color w:val="000000"/>
                <w:sz w:val="20"/>
                <w:szCs w:val="20"/>
              </w:rPr>
            </w:pPr>
            <w:r>
              <w:rPr>
                <w:color w:val="000000"/>
                <w:sz w:val="20"/>
                <w:szCs w:val="20"/>
              </w:rPr>
              <w:t>全面贯彻党的教育方针，培养德、智、体、美、劳全面发展的二十一世纪新型人才，促进五号渠乡中心学校教育教学事业又好又快发展，保障学校教育教学工作的有效提升，为广大师生提供优质的教育教学环境，办好让人民满意的教育。</w:t>
            </w:r>
          </w:p>
        </w:tc>
      </w:tr>
      <w:tr>
        <w:tblPrEx>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资金总额（万元）</w:t>
            </w:r>
          </w:p>
        </w:tc>
      </w:tr>
      <w:tr>
        <w:tblPrEx>
          <w:tblCellMar>
            <w:top w:w="0" w:type="dxa"/>
            <w:left w:w="108" w:type="dxa"/>
            <w:bottom w:w="0" w:type="dxa"/>
            <w:right w:w="108" w:type="dxa"/>
          </w:tblCellMar>
        </w:tblPrEx>
        <w:trPr>
          <w:trHeight w:val="48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108" w:type="dxa"/>
            <w:bottom w:w="0" w:type="dxa"/>
            <w:right w:w="108" w:type="dxa"/>
          </w:tblCellMar>
        </w:tblPrEx>
        <w:trPr>
          <w:trHeight w:val="466"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1553.8</w:t>
            </w:r>
          </w:p>
        </w:tc>
      </w:tr>
      <w:tr>
        <w:tblPrEx>
          <w:tblCellMar>
            <w:top w:w="0" w:type="dxa"/>
            <w:left w:w="108" w:type="dxa"/>
            <w:bottom w:w="0" w:type="dxa"/>
            <w:right w:w="108" w:type="dxa"/>
          </w:tblCellMar>
        </w:tblPrEx>
        <w:trPr>
          <w:trHeight w:val="506"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30.58</w:t>
            </w:r>
          </w:p>
        </w:tc>
      </w:tr>
      <w:tr>
        <w:tblPrEx>
          <w:tblCellMar>
            <w:top w:w="0" w:type="dxa"/>
            <w:left w:w="108" w:type="dxa"/>
            <w:bottom w:w="0" w:type="dxa"/>
            <w:right w:w="108" w:type="dxa"/>
          </w:tblCellMar>
        </w:tblPrEx>
        <w:trPr>
          <w:trHeight w:val="801"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分值权重</w:t>
            </w:r>
          </w:p>
        </w:tc>
      </w:tr>
      <w:tr>
        <w:tblPrEx>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开设班级数量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w:t>
            </w:r>
            <w:r>
              <w:rPr>
                <w:rFonts w:hint="eastAsia"/>
                <w:color w:val="000000"/>
                <w:sz w:val="20"/>
                <w:szCs w:val="20"/>
              </w:rPr>
              <w:t>17</w:t>
            </w:r>
            <w:r>
              <w:rPr>
                <w:color w:val="000000"/>
                <w:sz w:val="20"/>
                <w:szCs w:val="20"/>
              </w:rPr>
              <w:t>个</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color w:val="000000"/>
                <w:sz w:val="24"/>
              </w:rPr>
              <w:t>20</w:t>
            </w:r>
          </w:p>
        </w:tc>
      </w:tr>
      <w:tr>
        <w:tblPrEx>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培育学生数量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color w:val="000000"/>
                <w:sz w:val="20"/>
                <w:szCs w:val="20"/>
              </w:rPr>
              <w:t>≥5</w:t>
            </w:r>
            <w:r>
              <w:rPr>
                <w:rFonts w:hint="eastAsia"/>
                <w:color w:val="000000"/>
                <w:sz w:val="20"/>
                <w:szCs w:val="20"/>
              </w:rPr>
              <w:t>47</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color w:val="000000"/>
                <w:sz w:val="24"/>
              </w:rPr>
              <w:t>25</w:t>
            </w:r>
          </w:p>
        </w:tc>
      </w:tr>
      <w:tr>
        <w:tblPrEx>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受资助补助政策学生数</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color w:val="000000"/>
                <w:sz w:val="20"/>
                <w:szCs w:val="20"/>
              </w:rPr>
              <w:t>≥</w:t>
            </w:r>
            <w:r>
              <w:rPr>
                <w:rFonts w:hint="eastAsia"/>
                <w:color w:val="000000"/>
                <w:sz w:val="20"/>
                <w:szCs w:val="20"/>
              </w:rPr>
              <w:t>178</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color w:val="000000"/>
                <w:sz w:val="24"/>
              </w:rPr>
              <w:t>25</w:t>
            </w:r>
          </w:p>
        </w:tc>
      </w:tr>
      <w:tr>
        <w:tblPrEx>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t>补助发放次数</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0"/>
                <w:szCs w:val="20"/>
              </w:rPr>
            </w:pPr>
            <w:r>
              <w:t>&gt;=8次</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color w:val="000000"/>
                <w:sz w:val="20"/>
                <w:szCs w:val="20"/>
              </w:rPr>
              <w:t>202</w:t>
            </w:r>
            <w:r>
              <w:rPr>
                <w:rFonts w:hint="eastAsia"/>
                <w:color w:val="000000"/>
                <w:sz w:val="20"/>
                <w:szCs w:val="20"/>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r>
              <w:rPr>
                <w:rFonts w:hint="eastAsia"/>
                <w:color w:val="000000"/>
                <w:sz w:val="24"/>
              </w:rPr>
              <w:t>2</w:t>
            </w:r>
            <w:r>
              <w:rPr>
                <w:color w:val="000000"/>
                <w:sz w:val="24"/>
              </w:rPr>
              <w:t>0</w:t>
            </w:r>
          </w:p>
        </w:tc>
      </w:tr>
    </w:tbl>
    <w:p>
      <w:pPr>
        <w:spacing w:line="600" w:lineRule="exact"/>
        <w:rPr>
          <w:rFonts w:eastAsia="仿宋_GB2312"/>
          <w:kern w:val="0"/>
          <w:sz w:val="32"/>
          <w:szCs w:val="32"/>
        </w:rPr>
      </w:pPr>
    </w:p>
    <w:p>
      <w:pPr>
        <w:spacing w:line="600" w:lineRule="exact"/>
        <w:rPr>
          <w:rFonts w:eastAsia="仿宋_GB2312"/>
          <w:kern w:val="0"/>
          <w:sz w:val="32"/>
          <w:szCs w:val="32"/>
        </w:rPr>
      </w:pPr>
    </w:p>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jc w:val="left"/>
        <w:rPr>
          <w:rFonts w:hint="eastAsia" w:ascii="黑体" w:hAnsi="黑体" w:eastAsia="仿宋_GB2312"/>
          <w:kern w:val="0"/>
          <w:sz w:val="32"/>
          <w:szCs w:val="32"/>
          <w:lang w:eastAsia="zh-CN"/>
        </w:rPr>
      </w:pPr>
      <w:r>
        <w:rPr>
          <w:rFonts w:hint="eastAsia" w:ascii="仿宋_GB2312" w:hAnsi="宋体" w:eastAsia="仿宋_GB2312" w:cs="宋体"/>
          <w:kern w:val="0"/>
          <w:sz w:val="32"/>
          <w:szCs w:val="32"/>
        </w:rPr>
        <w:t>本单位无其他需说明的事项</w:t>
      </w:r>
      <w:r>
        <w:rPr>
          <w:rFonts w:hint="eastAsia" w:ascii="仿宋_GB2312" w:hAnsi="宋体" w:eastAsia="仿宋_GB2312" w:cs="宋体"/>
          <w:kern w:val="0"/>
          <w:sz w:val="32"/>
          <w:szCs w:val="32"/>
          <w:lang w:eastAsia="zh-CN"/>
        </w:rPr>
        <w:t>。</w:t>
      </w:r>
    </w:p>
    <w:p>
      <w:pPr>
        <w:rPr>
          <w:rFonts w:ascii="黑体" w:hAnsi="黑体" w:eastAsia="黑体"/>
          <w:kern w:val="0"/>
          <w:sz w:val="32"/>
          <w:szCs w:val="32"/>
        </w:rPr>
      </w:pPr>
      <w:r>
        <w:br w:type="page"/>
      </w: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jc w:val="center"/>
        <w:rPr>
          <w:rFonts w:eastAsia="仿宋_GB2312"/>
          <w:kern w:val="0"/>
          <w:sz w:val="32"/>
          <w:szCs w:val="32"/>
        </w:rPr>
      </w:pPr>
    </w:p>
    <w:p>
      <w:pPr>
        <w:spacing w:line="600" w:lineRule="exact"/>
        <w:ind w:firstLine="640" w:firstLineChars="200"/>
        <w:jc w:val="center"/>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焉耆回族自治县五号渠乡中心学校</w:t>
      </w:r>
    </w:p>
    <w:p>
      <w:pPr>
        <w:spacing w:line="600" w:lineRule="exact"/>
        <w:ind w:firstLine="640" w:firstLineChars="200"/>
        <w:jc w:val="center"/>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2025年2月20日</w:t>
      </w:r>
    </w:p>
    <w:p/>
    <w:p/>
    <w:p/>
    <w:p>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_x0000_s00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1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2WkYPgAQAA6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0tue1CeG/4ylPx7obJc3mV/+kgVlz3HPc47&#10;4jCLHVr0+Z9liGH09HLz1AxJaE4u16v1umS7NZ9dN4xTvH4ekdIXA17koJbITRu9VOdHSlPptSTf&#10;FmBnneO8qlz4I8GYOVNkxhPHHKXhMMzED9BcWC7CNAcU9c7ynY+K0l4hN5558tNIT7y0DvpawhxJ&#10;0QH+/Fc+13M/+FSKngeploHfjRTua+A+5Zm7BngNDtdABc0f1nLSS/HzKbG4UXNmPtGdBfEAjK7N&#10;w5on7Pf9WPX6QD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1uVLQAAAABQEAAA8AAAAAAAAA&#10;AQAgAAAAIgAAAGRycy9kb3ducmV2LnhtbFBLAQIUABQAAAAIAIdO4kBNlpGD4AEAAOgDAAAOAAAA&#10;AAAAAAEAIAAAAB8BAABkcnMvZTJvRG9jLnhtbFBLBQYAAAAABgAGAFkBAABxBQ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00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dblS0AAAAAUBAAAPAAAAAAAA&#10;AAEAIAAAACIAAABkcnMvZG93bnJldi54bWxQSwECFAAUAAAACACHTuJA+8v71eEBAADoAwAADgAA&#10;AAAAAAABACAAAAAfAQAAZHJzL2Uyb0RvYy54bWxQSwUGAAAAAAYABgBZAQAAcg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3E856"/>
    <w:multiLevelType w:val="singleLevel"/>
    <w:tmpl w:val="F8E3E8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NjE1NDk3MDQ3NTI1M2NmZTYyZTQ0NWQ0NzNmZTAifQ=="/>
  </w:docVars>
  <w:rsids>
    <w:rsidRoot w:val="00B42D33"/>
    <w:rsid w:val="000062E2"/>
    <w:rsid w:val="002E1505"/>
    <w:rsid w:val="0037486C"/>
    <w:rsid w:val="003B329F"/>
    <w:rsid w:val="00562DC2"/>
    <w:rsid w:val="00601107"/>
    <w:rsid w:val="00774333"/>
    <w:rsid w:val="00875B9F"/>
    <w:rsid w:val="008E1A22"/>
    <w:rsid w:val="00970453"/>
    <w:rsid w:val="009D1395"/>
    <w:rsid w:val="009D6588"/>
    <w:rsid w:val="00A545FE"/>
    <w:rsid w:val="00A61F77"/>
    <w:rsid w:val="00AE7392"/>
    <w:rsid w:val="00B42D33"/>
    <w:rsid w:val="00B65AE2"/>
    <w:rsid w:val="00B87E21"/>
    <w:rsid w:val="00C52804"/>
    <w:rsid w:val="00CE725C"/>
    <w:rsid w:val="00D2078C"/>
    <w:rsid w:val="00D575B2"/>
    <w:rsid w:val="00D655EE"/>
    <w:rsid w:val="00DB3C3E"/>
    <w:rsid w:val="00DF42A7"/>
    <w:rsid w:val="00EB32AE"/>
    <w:rsid w:val="00EE332C"/>
    <w:rsid w:val="01401D72"/>
    <w:rsid w:val="02CE4674"/>
    <w:rsid w:val="033C0E47"/>
    <w:rsid w:val="046D36FA"/>
    <w:rsid w:val="04D52FFB"/>
    <w:rsid w:val="04D53B4A"/>
    <w:rsid w:val="04D91E2E"/>
    <w:rsid w:val="04D94ECB"/>
    <w:rsid w:val="050B5FE4"/>
    <w:rsid w:val="05C15C35"/>
    <w:rsid w:val="05DC767B"/>
    <w:rsid w:val="06390D9C"/>
    <w:rsid w:val="06833278"/>
    <w:rsid w:val="06B85B33"/>
    <w:rsid w:val="06E81C52"/>
    <w:rsid w:val="07766A67"/>
    <w:rsid w:val="0802440D"/>
    <w:rsid w:val="08C64009"/>
    <w:rsid w:val="08F6061A"/>
    <w:rsid w:val="09351766"/>
    <w:rsid w:val="093839F5"/>
    <w:rsid w:val="09D27DA9"/>
    <w:rsid w:val="0AE70384"/>
    <w:rsid w:val="0B1617A5"/>
    <w:rsid w:val="0B44244C"/>
    <w:rsid w:val="0B4E1E32"/>
    <w:rsid w:val="0B6B0A79"/>
    <w:rsid w:val="0B817613"/>
    <w:rsid w:val="0C2118A8"/>
    <w:rsid w:val="0CE45B67"/>
    <w:rsid w:val="0CFE4509"/>
    <w:rsid w:val="0E462B7A"/>
    <w:rsid w:val="0E9742CC"/>
    <w:rsid w:val="0EA1271A"/>
    <w:rsid w:val="0EE443DD"/>
    <w:rsid w:val="0EED0F39"/>
    <w:rsid w:val="0F66093A"/>
    <w:rsid w:val="0F955F98"/>
    <w:rsid w:val="100F5B01"/>
    <w:rsid w:val="104C32F3"/>
    <w:rsid w:val="109D504D"/>
    <w:rsid w:val="10C504ED"/>
    <w:rsid w:val="111A59B4"/>
    <w:rsid w:val="11665EDC"/>
    <w:rsid w:val="11BF48B3"/>
    <w:rsid w:val="12364A1B"/>
    <w:rsid w:val="125C001D"/>
    <w:rsid w:val="1286622C"/>
    <w:rsid w:val="12C704DE"/>
    <w:rsid w:val="13B80B2F"/>
    <w:rsid w:val="14254D44"/>
    <w:rsid w:val="14395ADB"/>
    <w:rsid w:val="143E2C50"/>
    <w:rsid w:val="14C92F55"/>
    <w:rsid w:val="14F44966"/>
    <w:rsid w:val="153829EF"/>
    <w:rsid w:val="15A9236C"/>
    <w:rsid w:val="16CA0A3A"/>
    <w:rsid w:val="17E72EBB"/>
    <w:rsid w:val="18544752"/>
    <w:rsid w:val="18831818"/>
    <w:rsid w:val="18E6249C"/>
    <w:rsid w:val="19192C96"/>
    <w:rsid w:val="19306A0B"/>
    <w:rsid w:val="19477F06"/>
    <w:rsid w:val="19670574"/>
    <w:rsid w:val="199734B3"/>
    <w:rsid w:val="19A6144D"/>
    <w:rsid w:val="19B117EF"/>
    <w:rsid w:val="1A3B5D75"/>
    <w:rsid w:val="1CF50CE0"/>
    <w:rsid w:val="1D9348C1"/>
    <w:rsid w:val="1E054C96"/>
    <w:rsid w:val="1E4F2BD5"/>
    <w:rsid w:val="1F867E10"/>
    <w:rsid w:val="1F8E54A2"/>
    <w:rsid w:val="1FB74F45"/>
    <w:rsid w:val="204932D2"/>
    <w:rsid w:val="20AB44BA"/>
    <w:rsid w:val="20C539A0"/>
    <w:rsid w:val="21130FE1"/>
    <w:rsid w:val="21542D9A"/>
    <w:rsid w:val="2239676D"/>
    <w:rsid w:val="22833F45"/>
    <w:rsid w:val="22E23D2C"/>
    <w:rsid w:val="22E415F5"/>
    <w:rsid w:val="23351F6D"/>
    <w:rsid w:val="234454E0"/>
    <w:rsid w:val="234D5102"/>
    <w:rsid w:val="23DE17F8"/>
    <w:rsid w:val="242E1790"/>
    <w:rsid w:val="24924493"/>
    <w:rsid w:val="249C6202"/>
    <w:rsid w:val="25663F34"/>
    <w:rsid w:val="25991ECB"/>
    <w:rsid w:val="25C702C2"/>
    <w:rsid w:val="25E02C96"/>
    <w:rsid w:val="26B446CD"/>
    <w:rsid w:val="26D75C1C"/>
    <w:rsid w:val="272E6259"/>
    <w:rsid w:val="28A164BB"/>
    <w:rsid w:val="291A3F1A"/>
    <w:rsid w:val="2B9B6781"/>
    <w:rsid w:val="2BD169A0"/>
    <w:rsid w:val="2BD53DFD"/>
    <w:rsid w:val="2C98596F"/>
    <w:rsid w:val="2D046031"/>
    <w:rsid w:val="2D320D2A"/>
    <w:rsid w:val="2DDB00B7"/>
    <w:rsid w:val="2DF14458"/>
    <w:rsid w:val="2E8B665B"/>
    <w:rsid w:val="2F0C15E5"/>
    <w:rsid w:val="2F8F6C02"/>
    <w:rsid w:val="30303C51"/>
    <w:rsid w:val="303D1BD7"/>
    <w:rsid w:val="315F5919"/>
    <w:rsid w:val="31C07418"/>
    <w:rsid w:val="31F42769"/>
    <w:rsid w:val="32A75763"/>
    <w:rsid w:val="330A5755"/>
    <w:rsid w:val="33242BDA"/>
    <w:rsid w:val="337E0720"/>
    <w:rsid w:val="343F7D80"/>
    <w:rsid w:val="35497E6C"/>
    <w:rsid w:val="35DE1766"/>
    <w:rsid w:val="367A61D1"/>
    <w:rsid w:val="369C4312"/>
    <w:rsid w:val="36C76719"/>
    <w:rsid w:val="374D20A4"/>
    <w:rsid w:val="37DD1852"/>
    <w:rsid w:val="37FB7060"/>
    <w:rsid w:val="380253DC"/>
    <w:rsid w:val="38294547"/>
    <w:rsid w:val="38AE533F"/>
    <w:rsid w:val="38B52CF7"/>
    <w:rsid w:val="38D00252"/>
    <w:rsid w:val="38FE234A"/>
    <w:rsid w:val="39BC4063"/>
    <w:rsid w:val="3B32677D"/>
    <w:rsid w:val="3BC055C1"/>
    <w:rsid w:val="3BDB3567"/>
    <w:rsid w:val="3CCF3F10"/>
    <w:rsid w:val="3D3D4FC4"/>
    <w:rsid w:val="3D3E3314"/>
    <w:rsid w:val="3D68673B"/>
    <w:rsid w:val="3DE24537"/>
    <w:rsid w:val="3DE96EFA"/>
    <w:rsid w:val="3E1036D4"/>
    <w:rsid w:val="3E693B7C"/>
    <w:rsid w:val="3ED34561"/>
    <w:rsid w:val="3FEE438C"/>
    <w:rsid w:val="402F4882"/>
    <w:rsid w:val="40512B35"/>
    <w:rsid w:val="40832F2F"/>
    <w:rsid w:val="41C9179E"/>
    <w:rsid w:val="41CA7EBF"/>
    <w:rsid w:val="41EE7637"/>
    <w:rsid w:val="41FD4D22"/>
    <w:rsid w:val="42D00689"/>
    <w:rsid w:val="42E85301"/>
    <w:rsid w:val="430D53DB"/>
    <w:rsid w:val="435E28C9"/>
    <w:rsid w:val="443A3B6B"/>
    <w:rsid w:val="447B175D"/>
    <w:rsid w:val="448919A3"/>
    <w:rsid w:val="45056F58"/>
    <w:rsid w:val="467D6F08"/>
    <w:rsid w:val="474E407B"/>
    <w:rsid w:val="49386CCA"/>
    <w:rsid w:val="495B08FC"/>
    <w:rsid w:val="495C0669"/>
    <w:rsid w:val="4A930919"/>
    <w:rsid w:val="4AB5489E"/>
    <w:rsid w:val="4AD91530"/>
    <w:rsid w:val="4AF56C15"/>
    <w:rsid w:val="4B3D6625"/>
    <w:rsid w:val="4BE44147"/>
    <w:rsid w:val="4C9C6BFA"/>
    <w:rsid w:val="4CB357BF"/>
    <w:rsid w:val="4D752558"/>
    <w:rsid w:val="4D896296"/>
    <w:rsid w:val="4E3D537B"/>
    <w:rsid w:val="4E9D46AA"/>
    <w:rsid w:val="4ECC4069"/>
    <w:rsid w:val="4F394E1E"/>
    <w:rsid w:val="4F74048A"/>
    <w:rsid w:val="4F8E1972"/>
    <w:rsid w:val="4FDA0D9E"/>
    <w:rsid w:val="50422955"/>
    <w:rsid w:val="50572433"/>
    <w:rsid w:val="50716645"/>
    <w:rsid w:val="50FB3333"/>
    <w:rsid w:val="516227E5"/>
    <w:rsid w:val="533A3350"/>
    <w:rsid w:val="53B67427"/>
    <w:rsid w:val="54A86D6F"/>
    <w:rsid w:val="55752F01"/>
    <w:rsid w:val="55D2248D"/>
    <w:rsid w:val="560F0A0B"/>
    <w:rsid w:val="56404A55"/>
    <w:rsid w:val="56616DEA"/>
    <w:rsid w:val="57B02D78"/>
    <w:rsid w:val="57FB129F"/>
    <w:rsid w:val="584B1652"/>
    <w:rsid w:val="5852379E"/>
    <w:rsid w:val="59172BF4"/>
    <w:rsid w:val="59B10545"/>
    <w:rsid w:val="59C508C4"/>
    <w:rsid w:val="5A3926D3"/>
    <w:rsid w:val="5AE96DAB"/>
    <w:rsid w:val="5B170635"/>
    <w:rsid w:val="5B5B7FCA"/>
    <w:rsid w:val="5C0B4723"/>
    <w:rsid w:val="5C533A65"/>
    <w:rsid w:val="5CB0535B"/>
    <w:rsid w:val="5CB12B98"/>
    <w:rsid w:val="5CF26294"/>
    <w:rsid w:val="5D826C55"/>
    <w:rsid w:val="5DC67289"/>
    <w:rsid w:val="5FE97C1B"/>
    <w:rsid w:val="600E06BB"/>
    <w:rsid w:val="601B3F16"/>
    <w:rsid w:val="607D6AA2"/>
    <w:rsid w:val="61461DEA"/>
    <w:rsid w:val="62650996"/>
    <w:rsid w:val="62CC631F"/>
    <w:rsid w:val="632924F9"/>
    <w:rsid w:val="63F46F27"/>
    <w:rsid w:val="64234B23"/>
    <w:rsid w:val="64C73242"/>
    <w:rsid w:val="651047DE"/>
    <w:rsid w:val="65120758"/>
    <w:rsid w:val="654151D1"/>
    <w:rsid w:val="6554556A"/>
    <w:rsid w:val="656D04E0"/>
    <w:rsid w:val="657960B4"/>
    <w:rsid w:val="65A33238"/>
    <w:rsid w:val="65A71157"/>
    <w:rsid w:val="675F286E"/>
    <w:rsid w:val="676C3993"/>
    <w:rsid w:val="677A3E32"/>
    <w:rsid w:val="678B0377"/>
    <w:rsid w:val="678B1F3C"/>
    <w:rsid w:val="67E374F9"/>
    <w:rsid w:val="67F34F0C"/>
    <w:rsid w:val="68A64B63"/>
    <w:rsid w:val="68C55CEA"/>
    <w:rsid w:val="68CC05A2"/>
    <w:rsid w:val="690C0F9A"/>
    <w:rsid w:val="690F785C"/>
    <w:rsid w:val="69543820"/>
    <w:rsid w:val="698C6389"/>
    <w:rsid w:val="69C11E6A"/>
    <w:rsid w:val="6A7A22D7"/>
    <w:rsid w:val="6AEA7C8A"/>
    <w:rsid w:val="6BB80B19"/>
    <w:rsid w:val="6BDA5F51"/>
    <w:rsid w:val="6CA64085"/>
    <w:rsid w:val="6D2D5181"/>
    <w:rsid w:val="6E8031C7"/>
    <w:rsid w:val="6EEB481F"/>
    <w:rsid w:val="6FDE3287"/>
    <w:rsid w:val="6FF86788"/>
    <w:rsid w:val="70395C1B"/>
    <w:rsid w:val="70F35BF4"/>
    <w:rsid w:val="713D5DF2"/>
    <w:rsid w:val="715F36CA"/>
    <w:rsid w:val="726C5674"/>
    <w:rsid w:val="728D4B9F"/>
    <w:rsid w:val="729532E3"/>
    <w:rsid w:val="72DE2BAC"/>
    <w:rsid w:val="73384B5B"/>
    <w:rsid w:val="73776959"/>
    <w:rsid w:val="742A0F73"/>
    <w:rsid w:val="742F4960"/>
    <w:rsid w:val="75055E43"/>
    <w:rsid w:val="75223CEC"/>
    <w:rsid w:val="75AE4C68"/>
    <w:rsid w:val="76DB5157"/>
    <w:rsid w:val="7791021C"/>
    <w:rsid w:val="77D80C6B"/>
    <w:rsid w:val="78A36D34"/>
    <w:rsid w:val="7A3201C0"/>
    <w:rsid w:val="7BC879BB"/>
    <w:rsid w:val="7BE81954"/>
    <w:rsid w:val="7BFD3C29"/>
    <w:rsid w:val="7D005C4B"/>
    <w:rsid w:val="7D7431ED"/>
    <w:rsid w:val="7DA41F1A"/>
    <w:rsid w:val="7EBF7830"/>
    <w:rsid w:val="7EE50A3C"/>
    <w:rsid w:val="7F1D4B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预算公开正文内容"/>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B2DD2-6233-4E7F-8E0C-28F7DA8E000D}">
  <ds:schemaRefs/>
</ds:datastoreItem>
</file>

<file path=customXml/itemProps3.xml><?xml version="1.0" encoding="utf-8"?>
<ds:datastoreItem xmlns:ds="http://schemas.openxmlformats.org/officeDocument/2006/customXml" ds:itemID="{8000E734-6256-431B-A1A1-06C814ED328E}">
  <ds:schemaRefs/>
</ds:datastoreItem>
</file>

<file path=customXml/itemProps4.xml><?xml version="1.0" encoding="utf-8"?>
<ds:datastoreItem xmlns:ds="http://schemas.openxmlformats.org/officeDocument/2006/customXml" ds:itemID="{653B6047-2B19-440C-885E-07B60CF90631}">
  <ds:schemaRefs/>
</ds:datastoreItem>
</file>

<file path=docProps/app.xml><?xml version="1.0" encoding="utf-8"?>
<Properties xmlns="http://schemas.openxmlformats.org/officeDocument/2006/extended-properties" xmlns:vt="http://schemas.openxmlformats.org/officeDocument/2006/docPropsVTypes">
  <Template>Normal</Template>
  <Pages>27</Pages>
  <Words>1780</Words>
  <Characters>10151</Characters>
  <Lines>84</Lines>
  <Paragraphs>23</Paragraphs>
  <TotalTime>4</TotalTime>
  <ScaleCrop>false</ScaleCrop>
  <LinksUpToDate>false</LinksUpToDate>
  <CharactersWithSpaces>11908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2025-04-01T11:57:00Z</cp:lastPrinted>
  <dcterms:modified xsi:type="dcterms:W3CDTF">2025-04-27T04:43:22Z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4EF6DE864B5B4E448FC757B4448A9CA8_13</vt:lpwstr>
  </property>
</Properties>
</file>