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七个星佛寺遗址公园管理委员会</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一、关于七个星佛寺遗址公园管理委员会2025年收支预算情况的总体说明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二、关于七个星佛寺遗址公园管理委员会2025年收入预算情况说明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三、关于七个星佛寺遗址公园管理委员会2025年支出预算情况说明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四、关于七个星佛寺遗址公园管理委员会2025年财政拨款收支预算情况的总体说明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五、关于七个星佛寺遗址公园管理委员会2025年一般公共预算当年拨款情况说明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六、关于七个星佛寺遗址公园管理委员会2025年一般公共预算基本支出情况说明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七、关于七个星佛寺遗址公园管理委员会2025年一般公共预算项目支出情况说明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八、关于七个星佛寺遗址公园管理委员会2025年政府性基金预算拨款情况说明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九、关于七个星佛寺遗址公园管理委员会2025年国有资本经营预算拨款情况说明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十、关于七个星佛寺遗址公园管理委员会2025年财政拨款“三公”经费预算情况说明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十一、关于七个星佛寺遗址公园管理委员会2025年上年结转结余预算情况说明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1.保护焉耆县七个星佛寺遗址。</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2.强化佛寺遗址景区管理。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3.做好佛寺遗址景区环境整治。</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4.开展佛寺遗址景区综合功能区建设。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5.完成石窟遗址展示点建设内容。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6.开展考古研究工作。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7.建立规范的佛寺遗址管理体系。</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七个星佛寺遗址公园管理委员会无下属预算单位。下设1个处室，分别是：七个星佛寺遗址公园管理委员会。</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七个星佛寺遗址公园管理委员会单位编制数2，实有人数5人，其中：在职4人，增加0人；退休1人，增加0人；离休0人，增加0人。</w:t>
      </w:r>
    </w:p>
    <w:p>
      <w:pPr>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bCs/>
          <w:color w:val="auto"/>
          <w:kern w:val="0"/>
          <w:sz w:val="24"/>
          <w:szCs w:val="24"/>
          <w:highlight w:val="none"/>
          <w:lang w:val="en-US" w:eastAsia="zh-CN"/>
        </w:rPr>
        <w:t>焉耆县七个星佛寺遗址公园管理委员会</w:t>
      </w:r>
      <w:r>
        <w:rPr>
          <w:rFonts w:hint="default" w:ascii="Times New Roman" w:hAnsi="Times New Roman" w:eastAsia="仿宋_GB2312" w:cs="Times New Roman"/>
          <w:color w:val="auto"/>
          <w:kern w:val="0"/>
          <w:sz w:val="24"/>
          <w:highlight w:val="none"/>
        </w:rPr>
        <w:t xml:space="preserve">               单位：万元                          </w:t>
      </w:r>
      <w:r>
        <w:rPr>
          <w:rFonts w:hint="default" w:ascii="Times New Roman" w:hAnsi="Times New Roman" w:eastAsia="仿宋_GB2312" w:cs="Times New Roman"/>
          <w:color w:val="auto"/>
          <w:kern w:val="0"/>
          <w:sz w:val="24"/>
          <w:highlight w:val="none"/>
          <w:lang w:val="en-US" w:eastAsia="zh-CN"/>
        </w:rPr>
        <w:t xml:space="preserve"> </w:t>
      </w:r>
    </w:p>
    <w:tbl>
      <w:tblPr>
        <w:tblStyle w:val="13"/>
        <w:tblW w:w="5037" w:type="pct"/>
        <w:tblInd w:w="0" w:type="dxa"/>
        <w:tblLayout w:type="fixed"/>
        <w:tblCellMar>
          <w:top w:w="0" w:type="dxa"/>
          <w:left w:w="108" w:type="dxa"/>
          <w:bottom w:w="0" w:type="dxa"/>
          <w:right w:w="108" w:type="dxa"/>
        </w:tblCellMar>
      </w:tblPr>
      <w:tblGrid>
        <w:gridCol w:w="3372"/>
        <w:gridCol w:w="1240"/>
        <w:gridCol w:w="2800"/>
        <w:gridCol w:w="1174"/>
      </w:tblGrid>
      <w:tr>
        <w:tblPrEx>
          <w:tblCellMar>
            <w:top w:w="0" w:type="dxa"/>
            <w:left w:w="108" w:type="dxa"/>
            <w:bottom w:w="0" w:type="dxa"/>
            <w:right w:w="108" w:type="dxa"/>
          </w:tblCellMar>
        </w:tblPrEx>
        <w:trPr>
          <w:trHeight w:val="360" w:hRule="atLeast"/>
        </w:trPr>
        <w:tc>
          <w:tcPr>
            <w:tcW w:w="2685" w:type="pct"/>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2314" w:type="pct"/>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722"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1630"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683"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722"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67.70</w:t>
            </w:r>
          </w:p>
        </w:tc>
        <w:tc>
          <w:tcPr>
            <w:tcW w:w="1630" w:type="pct"/>
            <w:tcBorders>
              <w:top w:val="nil"/>
              <w:left w:val="nil"/>
              <w:bottom w:val="single" w:color="auto" w:sz="4" w:space="0"/>
              <w:right w:val="nil"/>
            </w:tcBorders>
            <w:noWrap w:val="0"/>
            <w:vAlign w:val="center"/>
          </w:tcPr>
          <w:p>
            <w:pPr>
              <w:widowControl/>
              <w:spacing w:line="280" w:lineRule="exact"/>
              <w:jc w:val="left"/>
              <w:rPr>
                <w:rFonts w:hint="eastAsia" w:ascii="Times New Roman" w:hAnsi="Times New Roman" w:eastAsia="仿宋_GB2312" w:cs="Times New Roman"/>
                <w:color w:val="auto"/>
                <w:kern w:val="0"/>
                <w:sz w:val="18"/>
                <w:szCs w:val="18"/>
                <w:highlight w:val="none"/>
                <w:lang w:val="en-US" w:eastAsia="zh-CN"/>
              </w:rPr>
            </w:pPr>
            <w:r>
              <w:rPr>
                <w:rFonts w:hint="eastAsia" w:ascii="Times New Roman" w:hAnsi="Times New Roman" w:eastAsia="仿宋_GB2312" w:cs="Times New Roman"/>
                <w:color w:val="auto"/>
                <w:kern w:val="0"/>
                <w:sz w:val="18"/>
                <w:szCs w:val="18"/>
                <w:highlight w:val="none"/>
                <w:lang w:val="en-US" w:eastAsia="zh-CN"/>
              </w:rPr>
              <w:t>201一般公共服务支出</w:t>
            </w:r>
          </w:p>
          <w:p>
            <w:pPr>
              <w:pStyle w:val="12"/>
              <w:rPr>
                <w:rFonts w:hint="default" w:ascii="Times New Roman" w:hAnsi="Times New Roman" w:cs="Times New Roman"/>
              </w:rPr>
            </w:pP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722"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67.70</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722"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67.70</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75"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722"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72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72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72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48.61</w:t>
            </w: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722" w:type="pct"/>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10.63</w:t>
            </w:r>
          </w:p>
        </w:tc>
      </w:tr>
      <w:tr>
        <w:tblPrEx>
          <w:tblCellMar>
            <w:top w:w="0" w:type="dxa"/>
            <w:left w:w="108" w:type="dxa"/>
            <w:bottom w:w="0" w:type="dxa"/>
            <w:right w:w="108" w:type="dxa"/>
          </w:tblCellMar>
        </w:tblPrEx>
        <w:trPr>
          <w:trHeight w:val="315"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7"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80"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5.28</w:t>
            </w: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296"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722" w:type="pct"/>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630" w:type="pct"/>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722"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630" w:type="pct"/>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683" w:type="pct"/>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12" w:hRule="exact"/>
        </w:trPr>
        <w:tc>
          <w:tcPr>
            <w:tcW w:w="1963" w:type="pct"/>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722" w:type="pct"/>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630" w:type="pct"/>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683" w:type="pct"/>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1963" w:type="pct"/>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722" w:type="pc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w:t>
            </w:r>
          </w:p>
        </w:tc>
        <w:tc>
          <w:tcPr>
            <w:tcW w:w="1630" w:type="pct"/>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683" w:type="pct"/>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20"/>
                <w:szCs w:val="20"/>
                <w:highlight w:val="none"/>
                <w:lang w:val="en-US" w:eastAsia="zh-CN"/>
              </w:rPr>
              <w:t>67.70</w:t>
            </w: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bCs w:val="0"/>
          <w:color w:val="auto"/>
          <w:kern w:val="0"/>
          <w:sz w:val="32"/>
          <w:szCs w:val="32"/>
          <w:highlight w:val="none"/>
        </w:rPr>
      </w:pPr>
      <w:r>
        <w:rPr>
          <w:rFonts w:hint="default" w:ascii="Times New Roman" w:hAnsi="Times New Roman" w:eastAsia="仿宋_GB2312" w:cs="Times New Roman"/>
          <w:b/>
          <w:bCs w:val="0"/>
          <w:color w:val="auto"/>
          <w:kern w:val="0"/>
          <w:sz w:val="32"/>
          <w:szCs w:val="32"/>
          <w:highlight w:val="none"/>
        </w:rPr>
        <w:t>单位收入总体情况表</w:t>
      </w:r>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bCs/>
          <w:color w:val="auto"/>
          <w:kern w:val="0"/>
          <w:sz w:val="24"/>
          <w:szCs w:val="24"/>
          <w:highlight w:val="none"/>
          <w:lang w:val="en-US" w:eastAsia="zh-CN"/>
        </w:rPr>
        <w:t>焉耆县七个星佛寺遗址公园管理委员会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10164" w:type="dxa"/>
        <w:tblInd w:w="-450" w:type="dxa"/>
        <w:tblLayout w:type="fixed"/>
        <w:tblCellMar>
          <w:top w:w="0" w:type="dxa"/>
          <w:left w:w="108" w:type="dxa"/>
          <w:bottom w:w="0" w:type="dxa"/>
          <w:right w:w="108" w:type="dxa"/>
        </w:tblCellMar>
      </w:tblPr>
      <w:tblGrid>
        <w:gridCol w:w="519"/>
        <w:gridCol w:w="420"/>
        <w:gridCol w:w="465"/>
        <w:gridCol w:w="1320"/>
        <w:gridCol w:w="765"/>
        <w:gridCol w:w="892"/>
        <w:gridCol w:w="734"/>
        <w:gridCol w:w="746"/>
        <w:gridCol w:w="414"/>
        <w:gridCol w:w="634"/>
        <w:gridCol w:w="405"/>
        <w:gridCol w:w="795"/>
        <w:gridCol w:w="555"/>
        <w:gridCol w:w="375"/>
        <w:gridCol w:w="525"/>
        <w:gridCol w:w="600"/>
      </w:tblGrid>
      <w:tr>
        <w:tblPrEx>
          <w:tblCellMar>
            <w:top w:w="0" w:type="dxa"/>
            <w:left w:w="108" w:type="dxa"/>
            <w:bottom w:w="0" w:type="dxa"/>
            <w:right w:w="108" w:type="dxa"/>
          </w:tblCellMar>
        </w:tblPrEx>
        <w:trPr>
          <w:trHeight w:val="567" w:hRule="atLeast"/>
        </w:trPr>
        <w:tc>
          <w:tcPr>
            <w:tcW w:w="140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32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76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62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55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37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52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60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19"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20"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6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32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6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92"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73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74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1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3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0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95"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55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52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0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shd w:val="clear" w:color="auto" w:fill="auto"/>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shd w:val="clear" w:color="auto" w:fill="auto"/>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65" w:type="dxa"/>
            <w:tcBorders>
              <w:top w:val="nil"/>
              <w:left w:val="nil"/>
              <w:bottom w:val="single" w:color="auto" w:sz="4" w:space="0"/>
              <w:right w:val="single" w:color="auto" w:sz="4" w:space="0"/>
            </w:tcBorders>
            <w:shd w:val="clear" w:color="auto" w:fill="auto"/>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文化旅游体育与传媒</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65" w:type="dxa"/>
            <w:tcBorders>
              <w:top w:val="nil"/>
              <w:left w:val="nil"/>
              <w:bottom w:val="single" w:color="auto" w:sz="4" w:space="0"/>
              <w:right w:val="single" w:color="auto" w:sz="4" w:space="0"/>
            </w:tcBorders>
            <w:shd w:val="clear" w:color="000000" w:fill="FFFFFF"/>
            <w:noWrap w:val="0"/>
            <w:vAlign w:val="center"/>
          </w:tcPr>
          <w:p>
            <w:pPr>
              <w:widowControl/>
              <w:wordWrap/>
              <w:jc w:val="right"/>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color w:val="auto"/>
                <w:kern w:val="0"/>
                <w:sz w:val="20"/>
                <w:szCs w:val="20"/>
                <w:highlight w:val="none"/>
                <w:lang w:val="en-US" w:eastAsia="zh-CN"/>
              </w:rPr>
              <w:t>48.61</w:t>
            </w:r>
          </w:p>
        </w:tc>
        <w:tc>
          <w:tcPr>
            <w:tcW w:w="892" w:type="dxa"/>
            <w:tcBorders>
              <w:top w:val="nil"/>
              <w:left w:val="nil"/>
              <w:bottom w:val="single" w:color="auto" w:sz="4" w:space="0"/>
              <w:right w:val="single" w:color="auto" w:sz="4" w:space="0"/>
            </w:tcBorders>
            <w:shd w:val="clear" w:color="000000" w:fill="FFFFFF"/>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734" w:type="dxa"/>
            <w:tcBorders>
              <w:top w:val="nil"/>
              <w:left w:val="nil"/>
              <w:bottom w:val="single" w:color="auto" w:sz="4" w:space="0"/>
              <w:right w:val="single" w:color="auto" w:sz="4" w:space="0"/>
            </w:tcBorders>
            <w:shd w:val="clear" w:color="000000" w:fill="FFFFFF"/>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74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90"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文物</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04</w:t>
            </w: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文物保护</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48.61 </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48.61 </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48.61 </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10.63 </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10.63 </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xml:space="preserve">10.63 </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事业单位离退休</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7.03</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7.03</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7.03</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3.52</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3.52</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3.52</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65"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1320"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19"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kern w:val="2"/>
                <w:sz w:val="18"/>
                <w:szCs w:val="18"/>
                <w:lang w:val="en-US" w:eastAsia="zh-CN" w:bidi="ar"/>
              </w:rPr>
            </w:pPr>
          </w:p>
        </w:tc>
        <w:tc>
          <w:tcPr>
            <w:tcW w:w="420"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i w:val="0"/>
                <w:color w:val="000000"/>
                <w:kern w:val="0"/>
                <w:sz w:val="18"/>
                <w:szCs w:val="18"/>
                <w:u w:val="none"/>
                <w:lang w:val="en-US" w:eastAsia="zh-CN" w:bidi="ar"/>
              </w:rPr>
            </w:pPr>
          </w:p>
        </w:tc>
        <w:tc>
          <w:tcPr>
            <w:tcW w:w="465"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kern w:val="2"/>
                <w:sz w:val="18"/>
                <w:szCs w:val="18"/>
                <w:lang w:val="en-US" w:eastAsia="zh-CN" w:bidi="ar"/>
              </w:rPr>
            </w:pPr>
          </w:p>
        </w:tc>
        <w:tc>
          <w:tcPr>
            <w:tcW w:w="13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b/>
                <w:bCs/>
                <w:color w:val="auto"/>
                <w:kern w:val="0"/>
                <w:sz w:val="20"/>
                <w:szCs w:val="20"/>
                <w:highlight w:val="none"/>
                <w:lang w:val="en-US" w:eastAsia="zh-CN"/>
              </w:rPr>
              <w:t>合计</w:t>
            </w:r>
          </w:p>
        </w:tc>
        <w:tc>
          <w:tcPr>
            <w:tcW w:w="765"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b/>
                <w:bCs/>
                <w:color w:val="auto"/>
                <w:kern w:val="0"/>
                <w:sz w:val="20"/>
                <w:szCs w:val="20"/>
                <w:highlight w:val="none"/>
                <w:lang w:val="en-US" w:eastAsia="zh-CN"/>
              </w:rPr>
              <w:t>67.70</w:t>
            </w:r>
          </w:p>
        </w:tc>
        <w:tc>
          <w:tcPr>
            <w:tcW w:w="892"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w:t>
            </w:r>
          </w:p>
        </w:tc>
        <w:tc>
          <w:tcPr>
            <w:tcW w:w="734" w:type="dxa"/>
            <w:tcBorders>
              <w:top w:val="nil"/>
              <w:left w:val="nil"/>
              <w:bottom w:val="single" w:color="auto" w:sz="4" w:space="0"/>
              <w:right w:val="single" w:color="auto" w:sz="4" w:space="0"/>
            </w:tcBorders>
            <w:noWrap w:val="0"/>
            <w:vAlign w:val="center"/>
          </w:tcPr>
          <w:p>
            <w:pPr>
              <w:widowControl/>
              <w:wordWrap/>
              <w:jc w:val="right"/>
              <w:textAlignment w:val="bottom"/>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w:t>
            </w:r>
          </w:p>
        </w:tc>
        <w:tc>
          <w:tcPr>
            <w:tcW w:w="7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4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3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0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95"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5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52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60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bCs/>
          <w:color w:val="auto"/>
          <w:kern w:val="0"/>
          <w:sz w:val="24"/>
          <w:szCs w:val="24"/>
          <w:highlight w:val="none"/>
          <w:lang w:val="en-US" w:eastAsia="zh-CN"/>
        </w:rPr>
        <w:t>焉耆县七个星佛寺遗址公园管理委员会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bl>
      <w:tblPr>
        <w:tblStyle w:val="13"/>
        <w:tblW w:w="9259" w:type="dxa"/>
        <w:tblInd w:w="-240" w:type="dxa"/>
        <w:tblLayout w:type="fixed"/>
        <w:tblCellMar>
          <w:top w:w="0" w:type="dxa"/>
          <w:left w:w="108" w:type="dxa"/>
          <w:bottom w:w="0" w:type="dxa"/>
          <w:right w:w="108" w:type="dxa"/>
        </w:tblCellMar>
      </w:tblPr>
      <w:tblGrid>
        <w:gridCol w:w="624"/>
        <w:gridCol w:w="420"/>
        <w:gridCol w:w="450"/>
        <w:gridCol w:w="2321"/>
        <w:gridCol w:w="1799"/>
        <w:gridCol w:w="1800"/>
        <w:gridCol w:w="1845"/>
      </w:tblGrid>
      <w:tr>
        <w:tblPrEx>
          <w:tblCellMar>
            <w:top w:w="0" w:type="dxa"/>
            <w:left w:w="108" w:type="dxa"/>
            <w:bottom w:w="0" w:type="dxa"/>
            <w:right w:w="108" w:type="dxa"/>
          </w:tblCellMar>
        </w:tblPrEx>
        <w:trPr>
          <w:trHeight w:val="515" w:hRule="atLeast"/>
        </w:trPr>
        <w:tc>
          <w:tcPr>
            <w:tcW w:w="381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444"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868" w:hRule="atLeast"/>
        </w:trPr>
        <w:tc>
          <w:tcPr>
            <w:tcW w:w="1494"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21"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79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0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45"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456"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321"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9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0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45"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文化旅游体育与传媒</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文物</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04</w:t>
            </w: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文物保护</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事业单位离退休</w:t>
            </w:r>
          </w:p>
        </w:tc>
        <w:tc>
          <w:tcPr>
            <w:tcW w:w="1799" w:type="dxa"/>
            <w:tcBorders>
              <w:top w:val="nil"/>
              <w:left w:val="nil"/>
              <w:bottom w:val="single" w:color="auto" w:sz="4" w:space="0"/>
              <w:right w:val="single" w:color="auto" w:sz="4" w:space="0"/>
            </w:tcBorders>
            <w:noWrap w:val="0"/>
            <w:vAlign w:val="center"/>
          </w:tcPr>
          <w:p>
            <w:pPr>
              <w:pStyle w:val="12"/>
              <w:ind w:left="0" w:leftChars="0" w:firstLine="630" w:firstLineChars="300"/>
              <w:jc w:val="center"/>
              <w:rPr>
                <w:rFonts w:hint="default" w:ascii="Times New Roman" w:hAnsi="Times New Roman" w:cs="Times New Roman"/>
                <w:lang w:val="en-US" w:eastAsia="zh-CN"/>
              </w:rPr>
            </w:pPr>
            <w:r>
              <w:rPr>
                <w:rFonts w:hint="eastAsia" w:ascii="Times New Roman" w:hAnsi="Times New Roman" w:cs="Times New Roman"/>
                <w:lang w:val="en-US" w:eastAsia="zh-CN"/>
              </w:rPr>
              <w:t>0.08</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966"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7.03</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7.03</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966"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3.52</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3.52</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r>
              <w:rPr>
                <w:rFonts w:hint="default" w:ascii="Times New Roman" w:hAnsi="Times New Roman" w:cs="Times New Roman"/>
                <w:b/>
                <w:bCs/>
                <w:color w:val="auto"/>
                <w:kern w:val="0"/>
                <w:sz w:val="22"/>
                <w:szCs w:val="22"/>
                <w:highlight w:val="none"/>
              </w:rPr>
              <w:t>　</w:t>
            </w: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32" w:hRule="atLeast"/>
        </w:trPr>
        <w:tc>
          <w:tcPr>
            <w:tcW w:w="624" w:type="dxa"/>
            <w:tcBorders>
              <w:top w:val="nil"/>
              <w:left w:val="single" w:color="auto" w:sz="4" w:space="0"/>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42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450" w:type="dxa"/>
            <w:tcBorders>
              <w:top w:val="nil"/>
              <w:left w:val="nil"/>
              <w:bottom w:val="single" w:color="auto" w:sz="4" w:space="0"/>
              <w:right w:val="single" w:color="auto" w:sz="4" w:space="0"/>
            </w:tcBorders>
            <w:noWrap w:val="0"/>
            <w:vAlign w:val="center"/>
          </w:tcPr>
          <w:p>
            <w:pPr>
              <w:widowControl/>
              <w:wordWrap/>
              <w:jc w:val="left"/>
              <w:textAlignment w:val="bottom"/>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321"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799"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00" w:type="dxa"/>
            <w:tcBorders>
              <w:top w:val="nil"/>
              <w:left w:val="nil"/>
              <w:bottom w:val="single" w:color="auto" w:sz="4" w:space="0"/>
              <w:right w:val="single" w:color="auto" w:sz="4" w:space="0"/>
            </w:tcBorders>
            <w:noWrap w:val="0"/>
            <w:vAlign w:val="center"/>
          </w:tcPr>
          <w:p>
            <w:pPr>
              <w:widowControl/>
              <w:wordWrap/>
              <w:jc w:val="center"/>
              <w:textAlignment w:val="bottom"/>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b/>
                <w:bCs/>
                <w:color w:val="auto"/>
                <w:kern w:val="0"/>
                <w:sz w:val="22"/>
                <w:szCs w:val="22"/>
                <w:highlight w:val="none"/>
              </w:rPr>
            </w:pPr>
          </w:p>
        </w:tc>
      </w:tr>
      <w:tr>
        <w:tblPrEx>
          <w:tblCellMar>
            <w:top w:w="0" w:type="dxa"/>
            <w:left w:w="108" w:type="dxa"/>
            <w:bottom w:w="0" w:type="dxa"/>
            <w:right w:w="108" w:type="dxa"/>
          </w:tblCellMar>
        </w:tblPrEx>
        <w:trPr>
          <w:trHeight w:val="647" w:hRule="atLeast"/>
        </w:trPr>
        <w:tc>
          <w:tcPr>
            <w:tcW w:w="62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2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45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23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799"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67.70</w:t>
            </w:r>
          </w:p>
        </w:tc>
        <w:tc>
          <w:tcPr>
            <w:tcW w:w="180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67.70</w:t>
            </w:r>
          </w:p>
        </w:tc>
        <w:tc>
          <w:tcPr>
            <w:tcW w:w="184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xml:space="preserve">编制单位： </w:t>
      </w:r>
      <w:r>
        <w:rPr>
          <w:rFonts w:hint="default" w:ascii="Times New Roman" w:hAnsi="Times New Roman" w:eastAsia="仿宋_GB2312" w:cs="Times New Roman"/>
          <w:bCs/>
          <w:color w:val="auto"/>
          <w:kern w:val="0"/>
          <w:sz w:val="24"/>
          <w:szCs w:val="24"/>
          <w:highlight w:val="none"/>
          <w:lang w:val="en-US" w:eastAsia="zh-CN"/>
        </w:rPr>
        <w:t>焉耆县七个星佛寺遗址公园管理委员会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                                         </w:t>
      </w:r>
    </w:p>
    <w:tbl>
      <w:tblPr>
        <w:tblStyle w:val="13"/>
        <w:tblW w:w="9449" w:type="dxa"/>
        <w:tblInd w:w="-240" w:type="dxa"/>
        <w:tblLayout w:type="fixed"/>
        <w:tblCellMar>
          <w:top w:w="0" w:type="dxa"/>
          <w:left w:w="108" w:type="dxa"/>
          <w:bottom w:w="0" w:type="dxa"/>
          <w:right w:w="108" w:type="dxa"/>
        </w:tblCellMar>
      </w:tblPr>
      <w:tblGrid>
        <w:gridCol w:w="1936"/>
        <w:gridCol w:w="914"/>
        <w:gridCol w:w="2776"/>
        <w:gridCol w:w="960"/>
        <w:gridCol w:w="825"/>
        <w:gridCol w:w="904"/>
        <w:gridCol w:w="5"/>
        <w:gridCol w:w="1129"/>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7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90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67.70</w:t>
            </w:r>
            <w:r>
              <w:rPr>
                <w:rFonts w:hint="default" w:ascii="Times New Roman" w:hAnsi="Times New Roman" w:eastAsia="仿宋_GB2312" w:cs="Times New Roman"/>
                <w:color w:val="auto"/>
                <w:kern w:val="0"/>
                <w:sz w:val="20"/>
                <w:szCs w:val="20"/>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67.70</w:t>
            </w:r>
            <w:r>
              <w:rPr>
                <w:rFonts w:hint="default" w:ascii="Times New Roman" w:hAnsi="Times New Roman" w:eastAsia="仿宋_GB2312" w:cs="Times New Roman"/>
                <w:color w:val="auto"/>
                <w:kern w:val="0"/>
                <w:sz w:val="20"/>
                <w:szCs w:val="20"/>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0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4"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67.70</w:t>
            </w:r>
            <w:r>
              <w:rPr>
                <w:rFonts w:hint="default" w:ascii="Times New Roman" w:hAnsi="Times New Roman" w:eastAsia="仿宋_GB2312" w:cs="Times New Roman"/>
                <w:b/>
                <w:bCs/>
                <w:color w:val="auto"/>
                <w:kern w:val="0"/>
                <w:sz w:val="20"/>
                <w:szCs w:val="20"/>
                <w:highlight w:val="none"/>
              </w:rPr>
              <w:t>　</w:t>
            </w:r>
          </w:p>
        </w:tc>
        <w:tc>
          <w:tcPr>
            <w:tcW w:w="277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960"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　</w:t>
            </w:r>
          </w:p>
        </w:tc>
        <w:tc>
          <w:tcPr>
            <w:tcW w:w="82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　</w:t>
            </w:r>
          </w:p>
        </w:tc>
        <w:tc>
          <w:tcPr>
            <w:tcW w:w="909"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3"/>
        <w:tblW w:w="9440" w:type="dxa"/>
        <w:tblInd w:w="-34" w:type="dxa"/>
        <w:tblLayout w:type="fixed"/>
        <w:tblCellMar>
          <w:top w:w="0" w:type="dxa"/>
          <w:left w:w="108" w:type="dxa"/>
          <w:bottom w:w="0" w:type="dxa"/>
          <w:right w:w="108" w:type="dxa"/>
        </w:tblCellMar>
      </w:tblPr>
      <w:tblGrid>
        <w:gridCol w:w="497"/>
        <w:gridCol w:w="512"/>
        <w:gridCol w:w="516"/>
        <w:gridCol w:w="2566"/>
        <w:gridCol w:w="1722"/>
        <w:gridCol w:w="1885"/>
        <w:gridCol w:w="1742"/>
      </w:tblGrid>
      <w:tr>
        <w:tblPrEx>
          <w:tblCellMar>
            <w:top w:w="0" w:type="dxa"/>
            <w:left w:w="108" w:type="dxa"/>
            <w:bottom w:w="0" w:type="dxa"/>
            <w:right w:w="108" w:type="dxa"/>
          </w:tblCellMar>
        </w:tblPrEx>
        <w:trPr>
          <w:trHeight w:val="827" w:hRule="atLeast"/>
        </w:trPr>
        <w:tc>
          <w:tcPr>
            <w:tcW w:w="9440" w:type="dxa"/>
            <w:gridSpan w:val="7"/>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413" w:hRule="atLeast"/>
        </w:trPr>
        <w:tc>
          <w:tcPr>
            <w:tcW w:w="9440" w:type="dxa"/>
            <w:gridSpan w:val="7"/>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lang w:val="en-US" w:eastAsia="zh-CN"/>
              </w:rPr>
              <w:t xml:space="preserve">编制单位：焉耆县七个星佛寺遗址公园管理委员                  </w:t>
            </w:r>
            <w:r>
              <w:rPr>
                <w:rFonts w:hint="default" w:ascii="Times New Roman" w:hAnsi="Times New Roman" w:eastAsia="仿宋_GB2312" w:cs="Times New Roman"/>
                <w:color w:val="auto"/>
                <w:kern w:val="0"/>
                <w:sz w:val="24"/>
                <w:highlight w:val="none"/>
              </w:rPr>
              <w:t>单位：万元</w:t>
            </w:r>
            <w:r>
              <w:rPr>
                <w:rFonts w:hint="default" w:ascii="Times New Roman" w:hAnsi="Times New Roman" w:eastAsia="仿宋_GB2312" w:cs="Times New Roman"/>
                <w:color w:val="auto"/>
                <w:kern w:val="0"/>
                <w:sz w:val="24"/>
                <w:highlight w:val="none"/>
                <w:lang w:val="en-US" w:eastAsia="zh-CN"/>
              </w:rPr>
              <w:t xml:space="preserve">                                                   </w:t>
            </w:r>
          </w:p>
        </w:tc>
      </w:tr>
      <w:tr>
        <w:tblPrEx>
          <w:tblCellMar>
            <w:top w:w="0" w:type="dxa"/>
            <w:left w:w="108" w:type="dxa"/>
            <w:bottom w:w="0" w:type="dxa"/>
            <w:right w:w="108" w:type="dxa"/>
          </w:tblCellMar>
        </w:tblPrEx>
        <w:trPr>
          <w:trHeight w:val="550" w:hRule="atLeast"/>
        </w:trPr>
        <w:tc>
          <w:tcPr>
            <w:tcW w:w="409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349"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840" w:hRule="atLeast"/>
        </w:trPr>
        <w:tc>
          <w:tcPr>
            <w:tcW w:w="15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56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72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88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74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427" w:hRule="atLeast"/>
        </w:trPr>
        <w:tc>
          <w:tcPr>
            <w:tcW w:w="49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1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1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566"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2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88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742"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文化旅游体育与传媒</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文物</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207</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04</w:t>
            </w: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文物保护</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48.61</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社会保障和就业</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行政事业单位养老</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10.63</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事业单位离退休</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0.08</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84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基本养老保险缴费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7.03</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7.03</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84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208</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3.52</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3.52</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卫生健康</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行政事业单位医疗</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210</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11</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事业单位医疗</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3.18</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住房保障</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住房改革支出</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10" w:hRule="atLeast"/>
        </w:trPr>
        <w:tc>
          <w:tcPr>
            <w:tcW w:w="49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221</w:t>
            </w:r>
          </w:p>
        </w:tc>
        <w:tc>
          <w:tcPr>
            <w:tcW w:w="51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516"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5.28</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623" w:hRule="atLeast"/>
        </w:trPr>
        <w:tc>
          <w:tcPr>
            <w:tcW w:w="497" w:type="dxa"/>
            <w:tcBorders>
              <w:top w:val="nil"/>
              <w:left w:val="single" w:color="auto" w:sz="4" w:space="0"/>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kern w:val="2"/>
                <w:sz w:val="18"/>
                <w:szCs w:val="18"/>
                <w:lang w:val="en-US" w:eastAsia="zh-CN" w:bidi="ar"/>
              </w:rPr>
            </w:pPr>
          </w:p>
        </w:tc>
        <w:tc>
          <w:tcPr>
            <w:tcW w:w="512"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i w:val="0"/>
                <w:color w:val="000000"/>
                <w:kern w:val="0"/>
                <w:sz w:val="18"/>
                <w:szCs w:val="18"/>
                <w:u w:val="none"/>
                <w:lang w:val="en-US" w:eastAsia="zh-CN" w:bidi="ar"/>
              </w:rPr>
            </w:pPr>
          </w:p>
        </w:tc>
        <w:tc>
          <w:tcPr>
            <w:tcW w:w="516" w:type="dxa"/>
            <w:tcBorders>
              <w:top w:val="nil"/>
              <w:left w:val="nil"/>
              <w:bottom w:val="single" w:color="auto" w:sz="4" w:space="0"/>
              <w:right w:val="single" w:color="auto" w:sz="4" w:space="0"/>
            </w:tcBorders>
            <w:noWrap w:val="0"/>
            <w:vAlign w:val="bottom"/>
          </w:tcPr>
          <w:p>
            <w:pPr>
              <w:jc w:val="center"/>
              <w:rPr>
                <w:rFonts w:hint="default" w:ascii="Times New Roman" w:hAnsi="Times New Roman" w:eastAsia="仿宋_GB2312" w:cs="Times New Roman"/>
                <w:color w:val="000000"/>
                <w:kern w:val="2"/>
                <w:sz w:val="18"/>
                <w:szCs w:val="18"/>
                <w:lang w:val="en-US" w:eastAsia="zh-CN" w:bidi="ar"/>
              </w:rPr>
            </w:pPr>
          </w:p>
        </w:tc>
        <w:tc>
          <w:tcPr>
            <w:tcW w:w="256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b/>
                <w:bCs/>
                <w:i w:val="0"/>
                <w:color w:val="000000"/>
                <w:kern w:val="0"/>
                <w:sz w:val="20"/>
                <w:szCs w:val="20"/>
                <w:u w:val="none"/>
                <w:lang w:val="en-US" w:eastAsia="zh-CN" w:bidi="ar"/>
              </w:rPr>
              <w:t>合计</w:t>
            </w:r>
          </w:p>
        </w:tc>
        <w:tc>
          <w:tcPr>
            <w:tcW w:w="172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w:t>
            </w:r>
          </w:p>
        </w:tc>
        <w:tc>
          <w:tcPr>
            <w:tcW w:w="188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w:t>
            </w:r>
          </w:p>
        </w:tc>
        <w:tc>
          <w:tcPr>
            <w:tcW w:w="174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3"/>
        <w:tblW w:w="9500" w:type="dxa"/>
        <w:tblInd w:w="-148" w:type="dxa"/>
        <w:tblLayout w:type="fixed"/>
        <w:tblCellMar>
          <w:top w:w="0" w:type="dxa"/>
          <w:left w:w="108" w:type="dxa"/>
          <w:bottom w:w="0" w:type="dxa"/>
          <w:right w:w="108" w:type="dxa"/>
        </w:tblCellMar>
      </w:tblPr>
      <w:tblGrid>
        <w:gridCol w:w="770"/>
        <w:gridCol w:w="587"/>
        <w:gridCol w:w="2945"/>
        <w:gridCol w:w="1731"/>
        <w:gridCol w:w="1731"/>
        <w:gridCol w:w="1736"/>
      </w:tblGrid>
      <w:tr>
        <w:tblPrEx>
          <w:tblCellMar>
            <w:top w:w="0" w:type="dxa"/>
            <w:left w:w="108" w:type="dxa"/>
            <w:bottom w:w="0" w:type="dxa"/>
            <w:right w:w="108" w:type="dxa"/>
          </w:tblCellMar>
        </w:tblPrEx>
        <w:trPr>
          <w:trHeight w:val="704" w:hRule="atLeast"/>
        </w:trPr>
        <w:tc>
          <w:tcPr>
            <w:tcW w:w="9500"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57" w:hRule="atLeast"/>
        </w:trPr>
        <w:tc>
          <w:tcPr>
            <w:tcW w:w="9500" w:type="dxa"/>
            <w:gridSpan w:val="6"/>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4"/>
                <w:highlight w:val="none"/>
              </w:rPr>
              <w:t xml:space="preserve">编制单位： </w:t>
            </w:r>
            <w:r>
              <w:rPr>
                <w:rFonts w:hint="default" w:ascii="Times New Roman" w:hAnsi="Times New Roman" w:eastAsia="仿宋_GB2312" w:cs="Times New Roman"/>
                <w:bCs/>
                <w:color w:val="auto"/>
                <w:kern w:val="0"/>
                <w:sz w:val="24"/>
                <w:szCs w:val="24"/>
                <w:highlight w:val="none"/>
                <w:lang w:val="en-US" w:eastAsia="zh-CN"/>
              </w:rPr>
              <w:t>焉耆县七个星佛寺遗址公园管理委员会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单位：万元  </w:t>
            </w:r>
          </w:p>
        </w:tc>
      </w:tr>
      <w:tr>
        <w:tblPrEx>
          <w:tblCellMar>
            <w:top w:w="0" w:type="dxa"/>
            <w:left w:w="108" w:type="dxa"/>
            <w:bottom w:w="0" w:type="dxa"/>
            <w:right w:w="108" w:type="dxa"/>
          </w:tblCellMar>
        </w:tblPrEx>
        <w:trPr>
          <w:trHeight w:val="443" w:hRule="atLeast"/>
        </w:trPr>
        <w:tc>
          <w:tcPr>
            <w:tcW w:w="4302"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98"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725" w:hRule="atLeast"/>
        </w:trPr>
        <w:tc>
          <w:tcPr>
            <w:tcW w:w="1357"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945"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3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36"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373"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8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945"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3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36"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工资福利</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66.40</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66.40</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基本工资</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23.31</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23.31</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津贴补贴</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23.77</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23.77</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08</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养老保险缴费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7.03</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7.03</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09</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机关事业单位</w:t>
            </w:r>
            <w:r>
              <w:rPr>
                <w:rFonts w:hint="default" w:ascii="Times New Roman" w:hAnsi="Times New Roman" w:eastAsia="仿宋_GB2312" w:cs="Times New Roman"/>
                <w:i w:val="0"/>
                <w:color w:val="000000"/>
                <w:kern w:val="0"/>
                <w:sz w:val="18"/>
                <w:szCs w:val="18"/>
                <w:u w:val="none"/>
                <w:lang w:val="en-US" w:eastAsia="zh-CN" w:bidi="ar"/>
              </w:rPr>
              <w:t>职业年金缴费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3.52</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3.52</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10</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职工基本医疗保险缴费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3.18</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3.18</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其他社会保险缴费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0.31</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0.31</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301</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13</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住房公积金</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5.28</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5.28</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商品与服务</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1.22</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1.22</w:t>
            </w: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办公费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0.60</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0.60</w:t>
            </w:r>
          </w:p>
        </w:tc>
      </w:tr>
      <w:tr>
        <w:tblPrEx>
          <w:tblCellMar>
            <w:top w:w="0" w:type="dxa"/>
            <w:left w:w="108" w:type="dxa"/>
            <w:bottom w:w="0" w:type="dxa"/>
            <w:right w:w="108" w:type="dxa"/>
          </w:tblCellMar>
        </w:tblPrEx>
        <w:trPr>
          <w:trHeight w:val="458"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02</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印刷费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0.14</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0.14</w:t>
            </w: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05</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kern w:val="2"/>
                <w:sz w:val="18"/>
                <w:szCs w:val="18"/>
                <w:lang w:val="en-US" w:eastAsia="zh-CN" w:bidi="ar-SA"/>
              </w:rPr>
            </w:pPr>
            <w:r>
              <w:rPr>
                <w:rFonts w:hint="default" w:ascii="Times New Roman" w:hAnsi="Times New Roman" w:eastAsia="仿宋_GB2312" w:cs="Times New Roman"/>
                <w:i w:val="0"/>
                <w:color w:val="000000"/>
                <w:kern w:val="0"/>
                <w:sz w:val="18"/>
                <w:szCs w:val="18"/>
                <w:u w:val="none" w:color="auto"/>
                <w:lang w:val="en-US" w:eastAsia="zh-CN" w:bidi="ar"/>
              </w:rPr>
              <w:t>水费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0.13</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0.13</w:t>
            </w: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06</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电费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0.16</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0.16</w:t>
            </w: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07</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color w:val="000000"/>
                <w:kern w:val="2"/>
                <w:sz w:val="18"/>
                <w:szCs w:val="18"/>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邮电费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0.17</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0.17</w:t>
            </w:r>
          </w:p>
        </w:tc>
      </w:tr>
      <w:tr>
        <w:tblPrEx>
          <w:tblCellMar>
            <w:top w:w="0" w:type="dxa"/>
            <w:left w:w="108" w:type="dxa"/>
            <w:bottom w:w="0" w:type="dxa"/>
            <w:right w:w="108" w:type="dxa"/>
          </w:tblCellMar>
        </w:tblPrEx>
        <w:trPr>
          <w:trHeight w:val="441"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工会经费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0.01</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0.01</w:t>
            </w: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302</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29</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福利费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0.01</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0.01</w:t>
            </w: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303</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对个人和家庭服务</w:t>
            </w:r>
            <w:r>
              <w:rPr>
                <w:rFonts w:hint="default" w:ascii="Times New Roman" w:hAnsi="Times New Roman" w:eastAsia="仿宋_GB2312" w:cs="Times New Roman"/>
                <w:i w:val="0"/>
                <w:color w:val="000000"/>
                <w:kern w:val="0"/>
                <w:sz w:val="18"/>
                <w:szCs w:val="18"/>
                <w:u w:val="none" w:color="auto"/>
                <w:lang w:val="en-US" w:eastAsia="zh-CN" w:bidi="ar"/>
              </w:rPr>
              <w:t>支出</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0.08</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0.08</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75" w:hRule="atLeast"/>
        </w:trPr>
        <w:tc>
          <w:tcPr>
            <w:tcW w:w="770"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303</w:t>
            </w:r>
          </w:p>
        </w:tc>
        <w:tc>
          <w:tcPr>
            <w:tcW w:w="5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kern w:val="0"/>
                <w:sz w:val="18"/>
                <w:szCs w:val="18"/>
                <w:highlight w:val="none"/>
                <w:lang w:val="en-US" w:eastAsia="zh-CN" w:bidi="ar-SA"/>
              </w:rPr>
              <w:t>02</w:t>
            </w:r>
          </w:p>
        </w:tc>
        <w:tc>
          <w:tcPr>
            <w:tcW w:w="2945"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bottom"/>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退休费</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0.08</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0.08</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r>
      <w:tr>
        <w:tblPrEx>
          <w:tblCellMar>
            <w:top w:w="0" w:type="dxa"/>
            <w:left w:w="108" w:type="dxa"/>
            <w:bottom w:w="0" w:type="dxa"/>
            <w:right w:w="108" w:type="dxa"/>
          </w:tblCellMar>
        </w:tblPrEx>
        <w:trPr>
          <w:trHeight w:val="496" w:hRule="atLeast"/>
        </w:trPr>
        <w:tc>
          <w:tcPr>
            <w:tcW w:w="770"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8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2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67.70</w:t>
            </w:r>
          </w:p>
        </w:tc>
        <w:tc>
          <w:tcPr>
            <w:tcW w:w="173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66.48</w:t>
            </w:r>
          </w:p>
        </w:tc>
        <w:tc>
          <w:tcPr>
            <w:tcW w:w="173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1.22</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3"/>
        <w:tblW w:w="9540" w:type="dxa"/>
        <w:tblInd w:w="-360" w:type="dxa"/>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szCs w:val="24"/>
                <w:highlight w:val="none"/>
              </w:rPr>
              <w:t xml:space="preserve">编制单位： </w:t>
            </w:r>
            <w:r>
              <w:rPr>
                <w:rFonts w:hint="default" w:ascii="Times New Roman" w:hAnsi="Times New Roman" w:eastAsia="仿宋_GB2312" w:cs="Times New Roman"/>
                <w:bCs/>
                <w:color w:val="auto"/>
                <w:kern w:val="0"/>
                <w:sz w:val="24"/>
                <w:szCs w:val="24"/>
                <w:highlight w:val="none"/>
                <w:lang w:val="en-US" w:eastAsia="zh-CN"/>
              </w:rPr>
              <w:t>焉耆县七个星佛寺遗址公园管理委员会</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82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40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73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61"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3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61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lang w:eastAsia="zh-Hans"/>
              </w:rPr>
            </w:pP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732"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7"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82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1400" w:type="dxa"/>
            <w:noWrap w:val="0"/>
            <w:vAlign w:val="center"/>
          </w:tcPr>
          <w:p>
            <w:pPr>
              <w:widowControl/>
              <w:jc w:val="center"/>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20"/>
                <w:szCs w:val="20"/>
                <w:highlight w:val="none"/>
              </w:rPr>
              <w:t>合 计</w:t>
            </w:r>
          </w:p>
        </w:tc>
        <w:tc>
          <w:tcPr>
            <w:tcW w:w="732" w:type="dxa"/>
            <w:noWrap w:val="0"/>
            <w:vAlign w:val="center"/>
          </w:tcPr>
          <w:p>
            <w:pPr>
              <w:widowControl/>
              <w:jc w:val="center"/>
              <w:outlineLvl w:val="1"/>
              <w:rPr>
                <w:rFonts w:hint="default" w:ascii="Times New Roman" w:hAnsi="Times New Roman" w:eastAsia="仿宋_GB2312" w:cs="Times New Roman"/>
                <w:color w:val="auto"/>
                <w:kern w:val="0"/>
                <w:szCs w:val="21"/>
                <w:highlight w:val="none"/>
              </w:rPr>
            </w:pPr>
          </w:p>
        </w:tc>
        <w:tc>
          <w:tcPr>
            <w:tcW w:w="561"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53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3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19"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618"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20" w:type="dxa"/>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c>
          <w:tcPr>
            <w:tcW w:w="465" w:type="dxa"/>
            <w:gridSpan w:val="2"/>
            <w:noWrap w:val="0"/>
            <w:vAlign w:val="top"/>
          </w:tcPr>
          <w:p>
            <w:pPr>
              <w:widowControl/>
              <w:jc w:val="lef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w:t>
            </w:r>
          </w:p>
        </w:tc>
      </w:tr>
    </w:tbl>
    <w:p>
      <w:pPr>
        <w:widowControl/>
        <w:outlineLvl w:val="1"/>
        <w:rPr>
          <w:rFonts w:hint="eastAsia" w:ascii="宋体" w:hAnsi="宋体" w:eastAsia="宋体"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eastAsia" w:eastAsia="仿宋_GB2312" w:cs="Times New Roman"/>
          <w:b/>
          <w:kern w:val="0"/>
          <w:sz w:val="28"/>
          <w:szCs w:val="32"/>
          <w:highlight w:val="none"/>
          <w:lang w:eastAsia="zh-CN"/>
        </w:rPr>
        <w:t>本单位无</w:t>
      </w:r>
      <w:r>
        <w:rPr>
          <w:rFonts w:hint="eastAsia" w:ascii="Times New Roman" w:hAnsi="Times New Roman" w:eastAsia="仿宋_GB2312" w:cs="Times New Roman"/>
          <w:b/>
          <w:kern w:val="0"/>
          <w:sz w:val="28"/>
          <w:szCs w:val="32"/>
          <w:highlight w:val="none"/>
          <w:lang w:eastAsia="zh-CN"/>
        </w:rPr>
        <w:t>一般公共预算</w:t>
      </w:r>
      <w:r>
        <w:rPr>
          <w:rFonts w:hint="default" w:ascii="Times New Roman" w:hAnsi="Times New Roman" w:eastAsia="仿宋_GB2312" w:cs="Times New Roman"/>
          <w:b/>
          <w:kern w:val="0"/>
          <w:sz w:val="28"/>
          <w:szCs w:val="32"/>
          <w:highlight w:val="none"/>
        </w:rPr>
        <w:t>项目支出，此表为空表</w:t>
      </w:r>
      <w:r>
        <w:rPr>
          <w:rFonts w:hint="default" w:ascii="Times New Roman" w:hAnsi="Times New Roman" w:eastAsia="仿宋" w:cs="Times New Roman"/>
          <w:sz w:val="30"/>
          <w:szCs w:val="30"/>
        </w:rPr>
        <w:t>。</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rPr>
          <w:rFonts w:hint="eastAsia" w:ascii="宋体" w:hAnsi="宋体" w:eastAsia="宋体" w:cs="宋体"/>
          <w:i w:val="0"/>
          <w:color w:val="auto"/>
          <w:kern w:val="0"/>
          <w:sz w:val="20"/>
          <w:szCs w:val="20"/>
          <w:highlight w:val="none"/>
          <w:u w:val="none"/>
          <w:lang w:val="en-US" w:eastAsia="zh-CN" w:bidi="ar"/>
        </w:rPr>
      </w:pPr>
    </w:p>
    <w:p>
      <w:pPr>
        <w:pStyle w:val="12"/>
        <w:rPr>
          <w:rFonts w:hint="eastAsia"/>
          <w:lang w:val="en-US" w:eastAsia="zh-CN"/>
        </w:rPr>
      </w:pPr>
    </w:p>
    <w:p>
      <w:pPr>
        <w:pStyle w:val="6"/>
        <w:rPr>
          <w:rFonts w:hint="eastAsia"/>
          <w:lang w:val="en-US" w:eastAsia="zh-CN"/>
        </w:rPr>
      </w:pPr>
    </w:p>
    <w:p>
      <w:pPr>
        <w:pStyle w:val="4"/>
        <w:rPr>
          <w:rFonts w:hint="eastAsia"/>
          <w:lang w:val="en-US" w:eastAsia="zh-CN"/>
        </w:rPr>
      </w:pPr>
    </w:p>
    <w:p>
      <w:pPr>
        <w:pStyle w:val="5"/>
        <w:rPr>
          <w:rFonts w:hint="eastAsia"/>
          <w:lang w:val="en-US" w:eastAsia="zh-CN"/>
        </w:rPr>
      </w:pPr>
    </w:p>
    <w:p>
      <w:pPr>
        <w:rPr>
          <w:rFonts w:hint="eastAsia"/>
          <w:lang w:val="en-US" w:eastAsia="zh-CN"/>
        </w:rPr>
      </w:pPr>
    </w:p>
    <w:p>
      <w:pPr>
        <w:pStyle w:val="12"/>
        <w:rPr>
          <w:rFonts w:hint="eastAsia"/>
          <w:lang w:val="en-US" w:eastAsia="zh-CN"/>
        </w:rPr>
      </w:pPr>
    </w:p>
    <w:p>
      <w:pPr>
        <w:pStyle w:val="12"/>
        <w:rPr>
          <w:rFonts w:hint="eastAsia"/>
          <w:lang w:val="en-US" w:eastAsia="zh-CN"/>
        </w:rPr>
      </w:pPr>
    </w:p>
    <w:p>
      <w:pPr>
        <w:pStyle w:val="4"/>
        <w:rPr>
          <w:rFonts w:hint="eastAsia"/>
          <w:lang w:val="en-US" w:eastAsia="zh-CN"/>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szCs w:val="24"/>
          <w:highlight w:val="none"/>
        </w:rPr>
        <w:t xml:space="preserve">编制单位： </w:t>
      </w:r>
      <w:r>
        <w:rPr>
          <w:rFonts w:hint="eastAsia" w:ascii="仿宋_GB2312" w:hAnsi="黑体" w:eastAsia="仿宋_GB2312" w:cs="宋体"/>
          <w:bCs/>
          <w:color w:val="auto"/>
          <w:kern w:val="0"/>
          <w:sz w:val="24"/>
          <w:szCs w:val="24"/>
          <w:highlight w:val="none"/>
          <w:lang w:val="en-US" w:eastAsia="zh-CN"/>
        </w:rPr>
        <w:t>焉耆县七个星佛寺遗址公园管理委员会</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单位：万元  </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spacing w:line="280" w:lineRule="exact"/>
        <w:outlineLvl w:val="1"/>
        <w:rPr>
          <w:rFonts w:hint="default" w:ascii="Times New Roman" w:hAnsi="Times New Roman" w:eastAsia="仿宋_GB2312" w:cs="Times New Roman"/>
          <w:b/>
          <w:kern w:val="0"/>
          <w:sz w:val="28"/>
          <w:szCs w:val="32"/>
          <w:highlight w:val="none"/>
        </w:rPr>
      </w:pPr>
      <w:r>
        <w:rPr>
          <w:rFonts w:hint="eastAsia" w:ascii="仿宋_GB2312" w:hAnsi="宋体" w:eastAsia="仿宋_GB2312"/>
          <w:b/>
          <w:color w:val="auto"/>
          <w:kern w:val="0"/>
          <w:sz w:val="28"/>
          <w:szCs w:val="32"/>
          <w:highlight w:val="none"/>
          <w:lang w:val="en-US" w:eastAsia="zh-CN"/>
        </w:rPr>
        <w:t>备注：</w:t>
      </w:r>
      <w:r>
        <w:rPr>
          <w:rFonts w:hint="default" w:ascii="Times New Roman" w:hAnsi="Times New Roman" w:eastAsia="仿宋_GB2312" w:cs="Times New Roman"/>
          <w:b/>
          <w:kern w:val="0"/>
          <w:sz w:val="28"/>
          <w:szCs w:val="32"/>
          <w:highlight w:val="none"/>
          <w:lang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rPr>
        <w:t>年</w:t>
      </w:r>
      <w:r>
        <w:rPr>
          <w:rFonts w:hint="eastAsia" w:eastAsia="仿宋_GB2312" w:cs="Times New Roman"/>
          <w:b/>
          <w:kern w:val="0"/>
          <w:sz w:val="28"/>
          <w:szCs w:val="32"/>
          <w:highlight w:val="none"/>
          <w:lang w:eastAsia="zh-CN"/>
        </w:rPr>
        <w:t>本单位无</w:t>
      </w:r>
      <w:r>
        <w:rPr>
          <w:rFonts w:hint="default" w:ascii="Times New Roman" w:hAnsi="Times New Roman" w:eastAsia="仿宋_GB2312" w:cs="Times New Roman"/>
          <w:b/>
          <w:kern w:val="0"/>
          <w:sz w:val="28"/>
          <w:szCs w:val="32"/>
          <w:highlight w:val="none"/>
        </w:rPr>
        <w:t>政府性基金支出预算，此表为空表。</w:t>
      </w:r>
    </w:p>
    <w:p>
      <w:pPr>
        <w:widowControl/>
        <w:spacing w:line="280" w:lineRule="exact"/>
        <w:outlineLvl w:val="1"/>
        <w:rPr>
          <w:rFonts w:hint="eastAsia" w:ascii="仿宋_GB2312" w:hAnsi="宋体" w:eastAsia="仿宋_GB2312"/>
          <w:b/>
          <w:color w:val="auto"/>
          <w:kern w:val="0"/>
          <w:sz w:val="28"/>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12"/>
        <w:rPr>
          <w:rFonts w:hint="eastAsia" w:ascii="宋体" w:hAnsi="宋体" w:eastAsia="宋体" w:cs="宋体"/>
          <w:i w:val="0"/>
          <w:color w:val="auto"/>
          <w:kern w:val="0"/>
          <w:sz w:val="20"/>
          <w:szCs w:val="20"/>
          <w:highlight w:val="none"/>
          <w:u w:val="none"/>
          <w:lang w:val="en-US" w:eastAsia="zh-CN" w:bidi="ar"/>
        </w:rPr>
      </w:pPr>
    </w:p>
    <w:p>
      <w:pPr>
        <w:pStyle w:val="6"/>
        <w:rPr>
          <w:rFonts w:hint="eastAsia"/>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黑体" w:eastAsia="仿宋_GB2312" w:cs="宋体"/>
          <w:bCs/>
          <w:color w:val="auto"/>
          <w:kern w:val="0"/>
          <w:sz w:val="24"/>
          <w:szCs w:val="24"/>
          <w:highlight w:val="none"/>
          <w:lang w:val="en-US" w:eastAsia="zh-CN"/>
        </w:rPr>
        <w:t>焉耆县七个星佛寺遗址公园管理委员会</w:t>
      </w:r>
      <w:r>
        <w:rPr>
          <w:rFonts w:hint="eastAsia" w:ascii="仿宋_GB2312" w:hAnsi="宋体" w:eastAsia="仿宋_GB2312"/>
          <w:color w:val="auto"/>
          <w:kern w:val="0"/>
          <w:sz w:val="24"/>
          <w:highlight w:val="none"/>
        </w:rPr>
        <w:t xml:space="preserve">              单位：万元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widowControl/>
        <w:spacing w:line="280" w:lineRule="exact"/>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w:t>
      </w:r>
      <w:r>
        <w:rPr>
          <w:rFonts w:hint="eastAsia" w:ascii="Times New Roman" w:hAnsi="Times New Roman" w:eastAsia="仿宋_GB2312" w:cs="Times New Roman"/>
          <w:b/>
          <w:kern w:val="0"/>
          <w:sz w:val="28"/>
          <w:szCs w:val="32"/>
          <w:highlight w:val="none"/>
          <w:lang w:val="en-US" w:eastAsia="zh-CN"/>
        </w:rPr>
        <w:t>单位</w:t>
      </w:r>
      <w:r>
        <w:rPr>
          <w:rFonts w:hint="eastAsia"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val="en-US" w:eastAsia="zh-CN"/>
        </w:rPr>
        <w:t>国有资本经营支出预算，此表为空表。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left"/>
        <w:rPr>
          <w:rFonts w:ascii="仿宋_GB2312" w:hAnsi="宋体" w:eastAsia="仿宋_GB2312"/>
          <w:color w:val="auto"/>
          <w:kern w:val="0"/>
          <w:sz w:val="24"/>
          <w:highlight w:val="none"/>
        </w:rPr>
      </w:pPr>
      <w:r>
        <w:rPr>
          <w:rFonts w:hint="eastAsia" w:ascii="仿宋_GB2312" w:hAnsi="宋体" w:eastAsia="仿宋_GB2312"/>
          <w:color w:val="auto"/>
          <w:kern w:val="0"/>
          <w:sz w:val="24"/>
          <w:szCs w:val="24"/>
          <w:highlight w:val="none"/>
        </w:rPr>
        <w:t xml:space="preserve">编制单位： </w:t>
      </w:r>
      <w:r>
        <w:rPr>
          <w:rFonts w:hint="eastAsia" w:ascii="仿宋_GB2312" w:hAnsi="黑体" w:eastAsia="仿宋_GB2312" w:cs="宋体"/>
          <w:bCs/>
          <w:color w:val="auto"/>
          <w:kern w:val="0"/>
          <w:sz w:val="24"/>
          <w:szCs w:val="24"/>
          <w:highlight w:val="none"/>
          <w:lang w:val="en-US" w:eastAsia="zh-CN"/>
        </w:rPr>
        <w:t>焉耆县七个星佛寺遗址公园管理委员会</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szCs w:val="24"/>
          <w:highlight w:val="none"/>
        </w:rPr>
        <w:t xml:space="preserve"> </w:t>
      </w:r>
      <w:r>
        <w:rPr>
          <w:rFonts w:hint="eastAsia" w:ascii="仿宋_GB2312" w:hAnsi="宋体" w:eastAsia="仿宋_GB2312"/>
          <w:color w:val="auto"/>
          <w:kern w:val="0"/>
          <w:sz w:val="24"/>
          <w:szCs w:val="24"/>
          <w:highlight w:val="none"/>
          <w:lang w:val="en-US" w:eastAsia="zh-CN"/>
        </w:rPr>
        <w:t xml:space="preserve">        </w:t>
      </w:r>
      <w:r>
        <w:rPr>
          <w:rFonts w:hint="eastAsia" w:ascii="仿宋_GB2312" w:hAnsi="宋体" w:eastAsia="仿宋_GB2312"/>
          <w:color w:val="auto"/>
          <w:kern w:val="0"/>
          <w:sz w:val="24"/>
          <w:szCs w:val="24"/>
          <w:highlight w:val="none"/>
        </w:rPr>
        <w:t xml:space="preserve">单位：万元  </w:t>
      </w:r>
      <w:r>
        <w:rPr>
          <w:rFonts w:hint="eastAsia" w:ascii="仿宋_GB2312" w:hAnsi="宋体" w:eastAsia="仿宋_GB2312"/>
          <w:color w:val="auto"/>
          <w:kern w:val="0"/>
          <w:sz w:val="24"/>
          <w:highlight w:val="none"/>
        </w:rPr>
        <w:t xml:space="preserve">                                            </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widowControl/>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本单位无</w:t>
      </w:r>
      <w:r>
        <w:rPr>
          <w:rFonts w:hint="eastAsia" w:ascii="Times New Roman" w:hAnsi="Times New Roman" w:eastAsia="仿宋_GB2312" w:cs="Times New Roman"/>
          <w:b/>
          <w:kern w:val="0"/>
          <w:sz w:val="28"/>
          <w:szCs w:val="32"/>
          <w:highlight w:val="none"/>
          <w:lang w:val="en-US" w:eastAsia="zh-CN"/>
        </w:rPr>
        <w:t>财政拨款</w:t>
      </w:r>
      <w:r>
        <w:rPr>
          <w:rFonts w:hint="default" w:ascii="Times New Roman" w:hAnsi="Times New Roman" w:eastAsia="仿宋_GB2312" w:cs="Times New Roman"/>
          <w:b/>
          <w:kern w:val="0"/>
          <w:sz w:val="28"/>
          <w:szCs w:val="32"/>
          <w:highlight w:val="none"/>
          <w:lang w:val="en-US" w:eastAsia="zh-CN"/>
        </w:rPr>
        <w:t>“三公”经费支出预算，此表为空表。</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6"/>
        <w:rPr>
          <w:rFonts w:hint="eastAsia"/>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 xml:space="preserve">编制单位： </w:t>
      </w:r>
      <w:r>
        <w:rPr>
          <w:rFonts w:hint="eastAsia" w:ascii="仿宋_GB2312" w:hAnsi="黑体" w:eastAsia="仿宋_GB2312" w:cs="宋体"/>
          <w:bCs/>
          <w:color w:val="auto"/>
          <w:kern w:val="0"/>
          <w:sz w:val="24"/>
          <w:szCs w:val="24"/>
          <w:highlight w:val="none"/>
          <w:lang w:val="en-US" w:eastAsia="zh-CN"/>
        </w:rPr>
        <w:t>焉耆县七个星佛寺遗址公园管理委员会</w:t>
      </w:r>
      <w:r>
        <w:rPr>
          <w:rFonts w:hint="eastAsia" w:ascii="仿宋_GB2312" w:hAnsi="宋体" w:eastAsia="仿宋_GB2312"/>
          <w:color w:val="auto"/>
          <w:kern w:val="0"/>
          <w:sz w:val="24"/>
          <w:highlight w:val="none"/>
        </w:rPr>
        <w:t xml:space="preserve">          单位：万元                                   </w:t>
      </w:r>
    </w:p>
    <w:tbl>
      <w:tblPr>
        <w:tblStyle w:val="14"/>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50" w:type="dxa"/>
            <w:noWrap w:val="0"/>
            <w:vAlign w:val="center"/>
          </w:tcPr>
          <w:p>
            <w:pPr>
              <w:spacing w:line="600" w:lineRule="exact"/>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90"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1" w:type="dxa"/>
            <w:noWrap w:val="0"/>
            <w:vAlign w:val="center"/>
          </w:tcPr>
          <w:p>
            <w:pPr>
              <w:spacing w:line="600" w:lineRule="exact"/>
              <w:jc w:val="center"/>
              <w:rPr>
                <w:rFonts w:ascii="仿宋" w:hAnsi="仿宋" w:eastAsia="仿宋" w:cs="仿宋_GB2312"/>
                <w:bCs/>
                <w:color w:val="auto"/>
                <w:kern w:val="0"/>
                <w:sz w:val="28"/>
                <w:szCs w:val="28"/>
                <w:highlight w:val="none"/>
              </w:rPr>
            </w:pPr>
          </w:p>
        </w:tc>
        <w:tc>
          <w:tcPr>
            <w:tcW w:w="1211" w:type="dxa"/>
            <w:noWrap w:val="0"/>
            <w:vAlign w:val="center"/>
          </w:tcPr>
          <w:p>
            <w:pPr>
              <w:spacing w:line="600" w:lineRule="exact"/>
              <w:jc w:val="center"/>
              <w:rPr>
                <w:rFonts w:ascii="仿宋" w:hAnsi="仿宋" w:eastAsia="仿宋" w:cs="仿宋_GB2312"/>
                <w:bCs/>
                <w:color w:val="auto"/>
                <w:kern w:val="0"/>
                <w:sz w:val="28"/>
                <w:szCs w:val="28"/>
                <w:highlight w:val="none"/>
              </w:rPr>
            </w:pPr>
          </w:p>
        </w:tc>
      </w:tr>
    </w:tbl>
    <w:p>
      <w:pPr>
        <w:widowControl/>
        <w:outlineLvl w:val="1"/>
        <w:rPr>
          <w:rFonts w:ascii="仿宋_GB2312" w:hAnsi="宋体" w:eastAsia="仿宋_GB2312"/>
          <w:color w:val="auto"/>
          <w:kern w:val="0"/>
          <w:sz w:val="32"/>
          <w:szCs w:val="32"/>
          <w:highlight w:val="none"/>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kern w:val="0"/>
          <w:sz w:val="28"/>
          <w:szCs w:val="32"/>
          <w:highlight w:val="none"/>
          <w:lang w:val="en-US" w:eastAsia="zh-CN"/>
        </w:rPr>
        <w:t>202</w:t>
      </w:r>
      <w:r>
        <w:rPr>
          <w:rFonts w:hint="eastAsia" w:eastAsia="仿宋_GB2312" w:cs="Times New Roman"/>
          <w:b/>
          <w:kern w:val="0"/>
          <w:sz w:val="28"/>
          <w:szCs w:val="32"/>
          <w:highlight w:val="none"/>
          <w:lang w:val="en-US" w:eastAsia="zh-CN"/>
        </w:rPr>
        <w:t>5</w:t>
      </w:r>
      <w:r>
        <w:rPr>
          <w:rFonts w:hint="default" w:ascii="Times New Roman" w:hAnsi="Times New Roman" w:eastAsia="仿宋_GB2312" w:cs="Times New Roman"/>
          <w:b/>
          <w:kern w:val="0"/>
          <w:sz w:val="28"/>
          <w:szCs w:val="32"/>
          <w:highlight w:val="none"/>
          <w:lang w:val="en-US" w:eastAsia="zh-CN"/>
        </w:rPr>
        <w:t>年</w:t>
      </w:r>
      <w:r>
        <w:rPr>
          <w:rFonts w:hint="eastAsia" w:eastAsia="仿宋_GB2312" w:cs="Times New Roman"/>
          <w:b/>
          <w:kern w:val="0"/>
          <w:sz w:val="28"/>
          <w:szCs w:val="32"/>
          <w:highlight w:val="none"/>
          <w:lang w:val="en-US" w:eastAsia="zh-CN"/>
        </w:rPr>
        <w:t>本</w:t>
      </w:r>
      <w:r>
        <w:rPr>
          <w:rFonts w:hint="eastAsia" w:ascii="Times New Roman" w:hAnsi="Times New Roman" w:eastAsia="仿宋_GB2312" w:cs="Times New Roman"/>
          <w:b/>
          <w:kern w:val="0"/>
          <w:sz w:val="28"/>
          <w:szCs w:val="32"/>
          <w:highlight w:val="none"/>
          <w:lang w:val="en-US" w:eastAsia="zh-CN"/>
        </w:rPr>
        <w:t>单位</w:t>
      </w:r>
      <w:r>
        <w:rPr>
          <w:rFonts w:hint="default" w:ascii="Times New Roman" w:hAnsi="Times New Roman" w:eastAsia="仿宋_GB2312" w:cs="Times New Roman"/>
          <w:b/>
          <w:kern w:val="0"/>
          <w:sz w:val="28"/>
          <w:szCs w:val="32"/>
          <w:highlight w:val="none"/>
          <w:lang w:val="en-US" w:eastAsia="zh-CN"/>
        </w:rPr>
        <w:t>无</w:t>
      </w:r>
      <w:r>
        <w:rPr>
          <w:rFonts w:hint="default" w:ascii="Times New Roman" w:hAnsi="Times New Roman" w:eastAsia="仿宋_GB2312" w:cs="Times New Roman"/>
          <w:b/>
          <w:kern w:val="0"/>
          <w:sz w:val="28"/>
          <w:szCs w:val="32"/>
          <w:highlight w:val="none"/>
          <w:lang w:eastAsia="zh-CN"/>
        </w:rPr>
        <w:t>上年结转</w:t>
      </w:r>
      <w:r>
        <w:rPr>
          <w:rFonts w:hint="default" w:ascii="Times New Roman" w:hAnsi="Times New Roman" w:eastAsia="仿宋_GB2312" w:cs="Times New Roman"/>
          <w:b/>
          <w:kern w:val="0"/>
          <w:sz w:val="28"/>
          <w:szCs w:val="32"/>
          <w:highlight w:val="none"/>
          <w:lang w:val="en-US" w:eastAsia="zh-CN"/>
        </w:rPr>
        <w:t>结余</w:t>
      </w:r>
      <w:r>
        <w:rPr>
          <w:rFonts w:hint="default" w:ascii="Times New Roman" w:hAnsi="Times New Roman" w:eastAsia="仿宋_GB2312" w:cs="Times New Roman"/>
          <w:b/>
          <w:kern w:val="0"/>
          <w:sz w:val="28"/>
          <w:szCs w:val="32"/>
          <w:highlight w:val="none"/>
          <w:lang w:eastAsia="zh-CN"/>
        </w:rPr>
        <w:t>情况</w:t>
      </w:r>
      <w:r>
        <w:rPr>
          <w:rFonts w:hint="eastAsia" w:ascii="Times New Roman" w:hAnsi="Times New Roman" w:eastAsia="仿宋_GB2312" w:cs="Times New Roman"/>
          <w:b/>
          <w:kern w:val="0"/>
          <w:sz w:val="28"/>
          <w:szCs w:val="32"/>
          <w:highlight w:val="none"/>
          <w:lang w:val="en-US" w:eastAsia="zh-CN"/>
        </w:rPr>
        <w:t>，</w:t>
      </w:r>
      <w:r>
        <w:rPr>
          <w:rFonts w:hint="default" w:ascii="Times New Roman" w:hAnsi="Times New Roman" w:eastAsia="仿宋_GB2312" w:cs="Times New Roman"/>
          <w:b/>
          <w:kern w:val="0"/>
          <w:sz w:val="28"/>
          <w:szCs w:val="32"/>
          <w:highlight w:val="none"/>
          <w:lang w:val="en-US" w:eastAsia="zh-CN"/>
        </w:rPr>
        <w:t>此表为空表。</w:t>
      </w: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一、关于七个星佛寺遗址公园管理委员会2025年收支预算情况的总体说明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按照全口径预算的原则，七个星佛寺遗址公园管理委员会2025年所有收入和支出均纳入单位预算管理。收支总预算67.7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支出预算包括:文化旅游体育与传媒支出、社会保障和就业支出、卫生健康支出、住房保障支出。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二、关于七个星佛寺遗址公园管理委员会2025年收入预算情况说明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七个星佛寺遗址公园管理委员会收入预算67.7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万元，占100%，比上年预算增加0.61万元，增长0.9</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%，主要原因：</w:t>
      </w:r>
      <w:r>
        <w:rPr>
          <w:rFonts w:hint="default" w:ascii="Times New Roman" w:hAnsi="Times New Roman" w:eastAsia="仿宋_GB2312" w:cs="Times New Roman"/>
          <w:kern w:val="0"/>
          <w:sz w:val="32"/>
          <w:szCs w:val="32"/>
          <w:highlight w:val="none"/>
          <w:lang w:eastAsia="zh-CN"/>
        </w:rPr>
        <w:t>工资变动、社保公积金</w:t>
      </w:r>
      <w:r>
        <w:rPr>
          <w:rFonts w:hint="eastAsia" w:eastAsia="仿宋_GB2312" w:cs="Times New Roman"/>
          <w:kern w:val="0"/>
          <w:sz w:val="32"/>
          <w:szCs w:val="32"/>
          <w:highlight w:val="none"/>
          <w:lang w:eastAsia="zh-CN"/>
        </w:rPr>
        <w:t>基数调整</w:t>
      </w:r>
      <w:r>
        <w:rPr>
          <w:rFonts w:hint="default" w:ascii="Times New Roman" w:hAnsi="Times New Roman" w:eastAsia="仿宋_GB2312" w:cs="Times New Roman"/>
          <w:kern w:val="0"/>
          <w:sz w:val="32"/>
          <w:szCs w:val="32"/>
          <w:highlight w:val="none"/>
          <w:lang w:eastAsia="zh-CN"/>
        </w:rPr>
        <w:t>等</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上级政府性基金安排的转移支付资金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上级国有资本经营预算安排的转移支付资金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三、关于七个星佛寺遗址公园管理委员会2025年支出预算情况说明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七个星佛寺遗址公园管理委员会2025</w:t>
      </w:r>
      <w:r>
        <w:rPr>
          <w:rFonts w:hint="default" w:ascii="Times New Roman" w:hAnsi="Times New Roman" w:eastAsia="仿宋_GB2312" w:cs="Times New Roman"/>
          <w:color w:val="auto"/>
          <w:kern w:val="0"/>
          <w:sz w:val="32"/>
          <w:szCs w:val="32"/>
          <w:highlight w:val="none"/>
        </w:rPr>
        <w:t xml:space="preserve">年支出预算 </w:t>
      </w:r>
      <w:r>
        <w:rPr>
          <w:rFonts w:hint="default" w:ascii="Times New Roman" w:hAnsi="Times New Roman" w:eastAsia="仿宋_GB2312" w:cs="Times New Roman"/>
          <w:color w:val="auto"/>
          <w:kern w:val="0"/>
          <w:sz w:val="32"/>
          <w:szCs w:val="32"/>
          <w:highlight w:val="none"/>
          <w:lang w:val="en-US" w:eastAsia="zh-CN"/>
        </w:rPr>
        <w:t>67.70</w:t>
      </w: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67.70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0.61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0.9</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kern w:val="0"/>
          <w:sz w:val="32"/>
          <w:szCs w:val="32"/>
          <w:highlight w:val="none"/>
          <w:lang w:eastAsia="zh-CN"/>
        </w:rPr>
        <w:t>工资变动、社保公积金等变动的原因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主要原因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年本单位未安排项目</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预算。</w:t>
      </w:r>
      <w:r>
        <w:rPr>
          <w:rFonts w:hint="default" w:ascii="Times New Roman" w:hAnsi="Times New Roman" w:eastAsia="仿宋_GB2312" w:cs="Times New Roman"/>
          <w:color w:val="auto"/>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四、关于七个星佛寺遗址公园管理委员会2025年财政拨款收支预算情况的总体说明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一般公共预算支出包括:文化旅游体育与传媒支出48.61万元，主要用于：</w:t>
      </w:r>
      <w:r>
        <w:rPr>
          <w:rFonts w:hint="default" w:ascii="Times New Roman" w:hAnsi="Times New Roman" w:eastAsia="仿宋_GB2312" w:cs="Times New Roman"/>
          <w:kern w:val="0"/>
          <w:sz w:val="32"/>
          <w:szCs w:val="32"/>
          <w:highlight w:val="none"/>
        </w:rPr>
        <w:t>人员工资、办公费。</w:t>
      </w:r>
      <w:r>
        <w:rPr>
          <w:rFonts w:hint="default" w:ascii="Times New Roman" w:hAnsi="Times New Roman" w:eastAsia="仿宋_GB2312" w:cs="Times New Roman"/>
          <w:color w:val="auto"/>
          <w:kern w:val="0"/>
          <w:sz w:val="32"/>
          <w:szCs w:val="32"/>
          <w:highlight w:val="none"/>
          <w:lang w:val="en-US" w:eastAsia="zh-CN"/>
        </w:rPr>
        <w:t>社会保障和就业支出10.63万元,主要用于：</w:t>
      </w:r>
      <w:r>
        <w:rPr>
          <w:rFonts w:hint="default" w:ascii="Times New Roman" w:hAnsi="Times New Roman" w:eastAsia="仿宋_GB2312" w:cs="Times New Roman"/>
          <w:kern w:val="0"/>
          <w:sz w:val="32"/>
          <w:szCs w:val="32"/>
          <w:highlight w:val="none"/>
        </w:rPr>
        <w:t>人员社保、离退休费，机关事业养老保险费、</w:t>
      </w:r>
      <w:r>
        <w:rPr>
          <w:rFonts w:hint="default" w:ascii="Times New Roman" w:hAnsi="Times New Roman" w:eastAsia="仿宋_GB2312" w:cs="Times New Roman"/>
          <w:kern w:val="0"/>
          <w:sz w:val="32"/>
          <w:szCs w:val="32"/>
          <w:highlight w:val="none"/>
          <w:u w:val="none" w:color="auto"/>
          <w:lang w:val="en-US" w:eastAsia="zh-CN" w:bidi="ar-SA"/>
        </w:rPr>
        <w:t>机关事业单位</w:t>
      </w:r>
      <w:r>
        <w:rPr>
          <w:rFonts w:hint="default" w:ascii="Times New Roman" w:hAnsi="Times New Roman" w:eastAsia="仿宋_GB2312" w:cs="Times New Roman"/>
          <w:kern w:val="0"/>
          <w:sz w:val="32"/>
          <w:szCs w:val="32"/>
          <w:highlight w:val="none"/>
        </w:rPr>
        <w:t>职业年金</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卫生健康支出3.18万元,主要用于：</w:t>
      </w:r>
      <w:r>
        <w:rPr>
          <w:rFonts w:hint="default" w:ascii="Times New Roman" w:hAnsi="Times New Roman" w:eastAsia="仿宋_GB2312" w:cs="Times New Roman"/>
          <w:kern w:val="0"/>
          <w:sz w:val="32"/>
          <w:szCs w:val="32"/>
          <w:highlight w:val="none"/>
        </w:rPr>
        <w:t>单位医疗</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住房保障支出5.28万元，主要用于：</w:t>
      </w:r>
      <w:r>
        <w:rPr>
          <w:rFonts w:hint="default" w:ascii="Times New Roman" w:hAnsi="Times New Roman" w:eastAsia="仿宋_GB2312" w:cs="Times New Roman"/>
          <w:kern w:val="0"/>
          <w:sz w:val="32"/>
          <w:szCs w:val="32"/>
          <w:highlight w:val="none"/>
        </w:rPr>
        <w:t>住房公积金</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五、关于七个星佛寺遗址公园管理委员会2025年一般公共预算当年拨款情况说明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七个星佛寺遗址公园管理委员会2025年一般公共预算拨款合计67.7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万元，比上年预算增加0.61万元，增加0.9</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%，主要原因：</w:t>
      </w:r>
      <w:r>
        <w:rPr>
          <w:rFonts w:hint="default" w:ascii="Times New Roman" w:hAnsi="Times New Roman" w:eastAsia="仿宋_GB2312" w:cs="Times New Roman"/>
          <w:kern w:val="0"/>
          <w:sz w:val="32"/>
          <w:szCs w:val="32"/>
          <w:highlight w:val="none"/>
          <w:lang w:eastAsia="zh-CN"/>
        </w:rPr>
        <w:t>工资变动、社保公积金等变动的原因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项目支出0万元，比上年预算增加0万元，增长0%，主要原因是：</w:t>
      </w:r>
      <w:r>
        <w:rPr>
          <w:rFonts w:hint="default" w:ascii="Times New Roman" w:hAnsi="Times New Roman" w:eastAsia="仿宋_GB2312" w:cs="Times New Roman"/>
          <w:kern w:val="0"/>
          <w:sz w:val="32"/>
          <w:szCs w:val="32"/>
          <w:highlight w:val="none"/>
          <w:lang w:eastAsia="zh-CN"/>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年本单位未安排项目</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rPr>
        <w:t>预算</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1.文化旅游体育与传媒支出（类）48.61万元，占71.8%</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2.社会保障和就业支出（类）10.63万元，占15.7%</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3.卫生健康支出（类）3.18万元，占4.</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4.住房保障支出（类）5.28万元，占7.</w:t>
      </w:r>
      <w:r>
        <w:rPr>
          <w:rFonts w:hint="eastAsia"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1.文化旅游体育与传媒支出（类）文物（款）文物保护(项):2024年预算数为48.61万元，比上年预算减少0.13万元,下降0.2</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w:t>
      </w:r>
      <w:r>
        <w:rPr>
          <w:rFonts w:hint="default" w:ascii="Times New Roman" w:hAnsi="Times New Roman" w:eastAsia="仿宋_GB2312" w:cs="Times New Roman"/>
          <w:kern w:val="0"/>
          <w:sz w:val="32"/>
          <w:szCs w:val="32"/>
          <w:highlight w:val="none"/>
          <w:lang w:eastAsia="zh-CN"/>
        </w:rPr>
        <w:t>工资变动、社保公积金等变动的原因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2.社会保障和就业支出（类）行政事业单位养老支出（款）事业单位离退休(项):2025年预算数为0.08万元，比上年预算减少0.06万元,下降42.</w:t>
      </w:r>
      <w:r>
        <w:rPr>
          <w:rFonts w:hint="eastAsia" w:eastAsia="仿宋_GB2312" w:cs="Times New Roman"/>
          <w:color w:val="auto"/>
          <w:kern w:val="0"/>
          <w:sz w:val="32"/>
          <w:szCs w:val="32"/>
          <w:highlight w:val="none"/>
          <w:lang w:val="en-US" w:eastAsia="zh-CN"/>
        </w:rPr>
        <w:t>86</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人员</w:t>
      </w:r>
      <w:bookmarkStart w:id="0" w:name="_GoBack"/>
      <w:bookmarkEnd w:id="0"/>
      <w:r>
        <w:rPr>
          <w:rFonts w:hint="default" w:ascii="Times New Roman" w:hAnsi="Times New Roman" w:eastAsia="仿宋_GB2312" w:cs="Times New Roman"/>
          <w:kern w:val="0"/>
          <w:sz w:val="32"/>
          <w:szCs w:val="32"/>
          <w:highlight w:val="none"/>
          <w:lang w:eastAsia="zh-CN"/>
        </w:rPr>
        <w:t>工资变动、社保公积金等变动的原因</w:t>
      </w:r>
      <w:r>
        <w:rPr>
          <w:rFonts w:hint="default" w:ascii="Times New Roman" w:hAnsi="Times New Roman" w:eastAsia="仿宋_GB2312" w:cs="Times New Roman"/>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3.社会保障和就业支出（类）行政事业单位养老支出（款）机关事业单位基本养老保险缴费支出(项):2025年预算数为7.03万元，比上年预算增加0.2</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万元,增长3.</w:t>
      </w:r>
      <w:r>
        <w:rPr>
          <w:rFonts w:hint="eastAsia" w:eastAsia="仿宋_GB2312" w:cs="Times New Roman"/>
          <w:color w:val="auto"/>
          <w:kern w:val="0"/>
          <w:sz w:val="32"/>
          <w:szCs w:val="32"/>
          <w:highlight w:val="none"/>
          <w:lang w:val="en-US" w:eastAsia="zh-CN"/>
        </w:rPr>
        <w:t>84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社保基数调增，养老支出增加。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4.社会保障和就业支出（类）行政事业单位养老支出（款）机关事业单位职业年金缴费支出(项):2025年预算数为3.52万元，比上年预算增加0.13万元,增长3.</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3%,主要原因是：</w:t>
      </w:r>
      <w:r>
        <w:rPr>
          <w:rFonts w:hint="eastAsia" w:eastAsia="仿宋_GB2312" w:cs="Times New Roman"/>
          <w:color w:val="auto"/>
          <w:kern w:val="0"/>
          <w:sz w:val="32"/>
          <w:szCs w:val="32"/>
          <w:highlight w:val="none"/>
          <w:lang w:val="en-US" w:eastAsia="zh-CN"/>
        </w:rPr>
        <w:t>社保基数调增，职业年金支出增加。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5.卫生健康支出（类）行政事业单位医疗（款）事业单位医疗(项):2025年预算数为3.18万元，比上年预算增加0.2</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万元,增长7.</w:t>
      </w:r>
      <w:r>
        <w:rPr>
          <w:rFonts w:hint="eastAsia" w:eastAsia="仿宋_GB2312" w:cs="Times New Roman"/>
          <w:color w:val="auto"/>
          <w:kern w:val="0"/>
          <w:sz w:val="32"/>
          <w:szCs w:val="32"/>
          <w:highlight w:val="none"/>
          <w:lang w:val="en-US" w:eastAsia="zh-CN"/>
        </w:rPr>
        <w:t>07</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医保基数调增，职业年金支出增加。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960" w:firstLineChars="3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6.住房保障支出（类）住房改革支出（款）住房公积金(项):2025年预算数为5.28万元，比上年预算增加0.</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万元,增长3.</w:t>
      </w:r>
      <w:r>
        <w:rPr>
          <w:rFonts w:hint="eastAsia" w:eastAsia="仿宋_GB2312" w:cs="Times New Roman"/>
          <w:color w:val="auto"/>
          <w:kern w:val="0"/>
          <w:sz w:val="32"/>
          <w:szCs w:val="32"/>
          <w:highlight w:val="none"/>
          <w:lang w:val="en-US" w:eastAsia="zh-CN"/>
        </w:rPr>
        <w:t>94</w:t>
      </w:r>
      <w:r>
        <w:rPr>
          <w:rFonts w:hint="default" w:ascii="Times New Roman" w:hAnsi="Times New Roman" w:eastAsia="仿宋_GB2312" w:cs="Times New Roman"/>
          <w:color w:val="auto"/>
          <w:kern w:val="0"/>
          <w:sz w:val="32"/>
          <w:szCs w:val="32"/>
          <w:highlight w:val="none"/>
          <w:lang w:val="en-US" w:eastAsia="zh-CN"/>
        </w:rPr>
        <w:t>%,主要原因是：社保缴费基数</w:t>
      </w:r>
      <w:r>
        <w:rPr>
          <w:rFonts w:hint="eastAsia" w:eastAsia="仿宋_GB2312" w:cs="Times New Roman"/>
          <w:color w:val="auto"/>
          <w:kern w:val="0"/>
          <w:sz w:val="32"/>
          <w:szCs w:val="32"/>
          <w:highlight w:val="none"/>
          <w:lang w:val="en-US" w:eastAsia="zh-CN"/>
        </w:rPr>
        <w:t>调增，住房保障支出增加。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六、关于七个星佛寺遗址公园管理委员会2025年一般公共预算基本支出情况说明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七个星佛寺遗址公园管理委员会2025年一般公共预算基本支出67.7</w:t>
      </w:r>
      <w:r>
        <w:rPr>
          <w:rFonts w:hint="eastAsia" w:eastAsia="仿宋_GB2312" w:cs="Times New Roman"/>
          <w:color w:val="auto"/>
          <w:spacing w:val="-6"/>
          <w:kern w:val="0"/>
          <w:sz w:val="32"/>
          <w:szCs w:val="32"/>
          <w:highlight w:val="none"/>
          <w:lang w:val="en-US" w:eastAsia="zh-CN"/>
        </w:rPr>
        <w:t>0</w:t>
      </w:r>
      <w:r>
        <w:rPr>
          <w:rFonts w:hint="default" w:ascii="Times New Roman" w:hAnsi="Times New Roman" w:eastAsia="仿宋_GB2312" w:cs="Times New Roman"/>
          <w:color w:val="auto"/>
          <w:spacing w:val="-6"/>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人员经费66.48万元，主要包括:基本工资、津贴补贴、机关事业单位基本养老保险缴费、职业年金缴费、职工基本医疗保险缴费、其他社会保障缴费、住房公积金、退休费。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公用经费1.22万元，主要包括:办公费、印刷费、水费、电费、邮电费、工会经费、福利费。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七、关于七个星佛寺遗址公园管理委员会2025年一般公共预算项目支出情况说明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七个星佛寺遗址公园管理委员会2025年没有使用一般公共预算项目支出，一般公共预算项目支出情况表为空表</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八、关于七个星佛寺遗址公园管理委员会2025年政府性基金预算支出情况表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七个星佛寺遗址公园管理委员会2025年没有使用政府性基金预算拨款安排的支出，政府性基金预算支出情况表为空表。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九、关于七个星佛寺遗址公园管理委员会2025年国有资本经营预算拨款情况说明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七个星佛寺遗址公园管理委员会202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十、关于七个星佛寺遗址公园管理委员会2025年财政拨款“三公”经费预算情况说明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七个星佛寺遗址公园管理委员会2025年财政拨款“三公”经费数为0万元</w:t>
      </w:r>
      <w:r>
        <w:rPr>
          <w:rFonts w:hint="eastAsia" w:eastAsia="仿宋_GB2312" w:cs="Times New Roman"/>
          <w:color w:val="auto"/>
          <w:kern w:val="0"/>
          <w:sz w:val="32"/>
          <w:szCs w:val="32"/>
          <w:highlight w:val="none"/>
          <w:lang w:val="en-US" w:eastAsia="zh-CN"/>
        </w:rPr>
        <w:t>，其中：</w:t>
      </w:r>
      <w:r>
        <w:rPr>
          <w:rFonts w:hint="default" w:ascii="Times New Roman" w:hAnsi="Times New Roman" w:eastAsia="仿宋_GB2312" w:cs="Times New Roman"/>
          <w:color w:val="auto"/>
          <w:kern w:val="0"/>
          <w:sz w:val="32"/>
          <w:szCs w:val="32"/>
          <w:highlight w:val="none"/>
          <w:lang w:val="en-US" w:eastAsia="zh-CN"/>
        </w:rPr>
        <w:t>因公出国（境）费0万元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公务用车购置费0万元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预算增加0万元，增长0%,其中：因公出国（境）费增加0万元，增长0%,主要原因是：未安排预算；公务用车购置费增加0万元，增长0%,主要原因是：未安排预算；公务用车运行费增加0万元，增长0%,主要原因是：未安排预算；公务接待费增加0万元，增长0%,主要原因是：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七个星佛寺遗址公园管理委员会2025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七个星佛寺遗址公园管理委员会2025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eastAsia="zh-CN"/>
        </w:rPr>
        <w:t>没有</w:t>
      </w:r>
      <w:r>
        <w:rPr>
          <w:rFonts w:hint="default" w:ascii="Times New Roman" w:hAnsi="Times New Roman" w:eastAsia="仿宋_GB2312" w:cs="Times New Roman"/>
          <w:color w:val="auto"/>
          <w:kern w:val="0"/>
          <w:sz w:val="32"/>
          <w:szCs w:val="32"/>
          <w:highlight w:val="none"/>
          <w:lang w:val="en-US" w:eastAsia="zh-CN"/>
        </w:rPr>
        <w:t>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七个星佛寺遗址公园管理委员会2025年的事业单位运行经费1.22万元，比上年预算增加0万元，增长0%。主要原因是：</w:t>
      </w:r>
      <w:r>
        <w:rPr>
          <w:rFonts w:hint="default" w:ascii="Times New Roman" w:hAnsi="Times New Roman" w:eastAsia="仿宋_GB2312" w:cs="Times New Roman"/>
          <w:kern w:val="0"/>
          <w:sz w:val="32"/>
          <w:szCs w:val="32"/>
          <w:highlight w:val="none"/>
          <w:lang w:eastAsia="zh-CN"/>
        </w:rPr>
        <w:t>与上年预算数一致。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2025年，七个星佛寺遗址公园管理委员会政府采购预算0.6万元，其中：政府采购货物预算0.6万元，政府采购工程预算万元，政府采购服务预算0万元。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2025年，七个星佛寺遗址公园管理委员会面向中小企业预留政府采购项目预算金额0.6万元，小微企业预留政府采购项目预算金额0万元。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截至2025年底，七个星佛寺遗址公园管理委员会及下属各预算单位占用使用国有资产总体情况为：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房屋1394.28平方米，价值609万元。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办公家具价值20.77万元。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其他资产价值385.95万元。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，单位价值100万元以上大型设备0</w:t>
      </w:r>
      <w:r>
        <w:rPr>
          <w:rFonts w:hint="default" w:ascii="Times New Roman" w:hAnsi="Times New Roman" w:eastAsia="仿宋_GB2312" w:cs="Times New Roman"/>
          <w:color w:val="auto"/>
          <w:kern w:val="0"/>
          <w:sz w:val="32"/>
          <w:szCs w:val="32"/>
          <w:highlight w:val="none"/>
        </w:rPr>
        <w:t>台</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 xml:space="preserve">年单位预算未安排购置车辆经费（或安排购置车辆经费 </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万元，安排购置50万元以上大型设备</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 xml:space="preserve"> 台，单位价值100万元以上大型设备</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202</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本</w:t>
      </w:r>
      <w:r>
        <w:rPr>
          <w:rFonts w:hint="eastAsia" w:eastAsia="仿宋_GB2312" w:cs="Times New Roman"/>
          <w:color w:val="auto"/>
          <w:kern w:val="0"/>
          <w:sz w:val="32"/>
          <w:szCs w:val="32"/>
          <w:highlight w:val="none"/>
          <w:lang w:val="en-US" w:eastAsia="zh-CN"/>
        </w:rPr>
        <w:t>单位</w:t>
      </w:r>
      <w:r>
        <w:rPr>
          <w:rFonts w:hint="default" w:ascii="Times New Roman" w:hAnsi="Times New Roman" w:eastAsia="仿宋_GB2312" w:cs="Times New Roman"/>
          <w:color w:val="auto"/>
          <w:kern w:val="0"/>
          <w:sz w:val="32"/>
          <w:szCs w:val="32"/>
          <w:highlight w:val="none"/>
        </w:rPr>
        <w:t>预算绩效管理</w:t>
      </w:r>
      <w:r>
        <w:rPr>
          <w:rFonts w:hint="default" w:ascii="Times New Roman" w:hAnsi="Times New Roman" w:eastAsia="仿宋_GB2312" w:cs="Times New Roman"/>
          <w:color w:val="auto"/>
          <w:kern w:val="0"/>
          <w:sz w:val="32"/>
          <w:szCs w:val="32"/>
          <w:highlight w:val="none"/>
          <w:lang w:val="en-US" w:eastAsia="zh-CN"/>
        </w:rPr>
        <w:t>整体预算绩效目标1个，涉及预算金额67.7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万元；当年预算安排项目共0个，其中: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涉及预算金额0万元；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万元。具体情况见下表（按项目分别填报）</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p>
    <w:tbl>
      <w:tblPr>
        <w:tblStyle w:val="13"/>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105"/>
        <w:gridCol w:w="2880"/>
        <w:gridCol w:w="1290"/>
        <w:gridCol w:w="1335"/>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711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Style w:val="20"/>
                <w:rFonts w:hint="default" w:ascii="Times New Roman" w:hAnsi="Times New Roman" w:eastAsia="宋体" w:cs="Times New Roman"/>
                <w:sz w:val="20"/>
                <w:szCs w:val="20"/>
              </w:rPr>
              <w:t>焉耆县</w:t>
            </w:r>
            <w:r>
              <w:rPr>
                <w:rStyle w:val="20"/>
                <w:rFonts w:hint="default" w:ascii="Times New Roman" w:hAnsi="Times New Roman" w:eastAsia="宋体" w:cs="Times New Roman"/>
                <w:sz w:val="20"/>
                <w:szCs w:val="20"/>
                <w:lang w:eastAsia="zh-CN"/>
              </w:rPr>
              <w:t>七个星佛寺遗址公园管理委员会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4170"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lang w:eastAsia="zh-CN"/>
              </w:rPr>
              <w:t>马晓军</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15999002121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22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711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Style w:val="20"/>
                <w:rFonts w:hint="default" w:ascii="Times New Roman" w:hAnsi="Times New Roman" w:eastAsia="宋体" w:cs="Times New Roman"/>
                <w:sz w:val="20"/>
                <w:szCs w:val="20"/>
                <w:lang w:eastAsia="zh-CN"/>
              </w:rPr>
              <w:t>保护焉耆县七个星佛寺遗址。强化佛寺遗址景区管理。做好佛寺遗址景区环境整治。开展佛寺遗址景区综合功能区建设。完成石窟遗址展示点建设内容。开展考古研究工作。建立规范的佛寺遗址管理体系。完成第四次全国文物普查工作1项，佛寺壁画修复验收工作1项，景区对外开放天数大于350天。博格达沁古城北墙修缮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22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41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29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2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8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294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2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8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294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22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294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履职效能</w:t>
            </w:r>
          </w:p>
        </w:tc>
        <w:tc>
          <w:tcPr>
            <w:tcW w:w="11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数量指标</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完成第四次全国文物普查工作</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=1项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highlight w:val="none"/>
                <w:u w:val="none"/>
              </w:rPr>
            </w:pPr>
            <w:r>
              <w:rPr>
                <w:rFonts w:hint="eastAsia" w:ascii="Times New Roman" w:hAnsi="Times New Roman" w:eastAsia="宋体"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佛寺壁画修复验收工作</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=1项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cs="Times New Roman"/>
                <w:i w:val="0"/>
                <w:iCs w:val="0"/>
                <w:color w:val="000000"/>
                <w:sz w:val="24"/>
                <w:szCs w:val="24"/>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0"/>
                <w:szCs w:val="20"/>
                <w:u w:val="none"/>
                <w:lang w:val="en-US" w:eastAsia="zh-CN" w:bidi="ar"/>
              </w:rPr>
            </w:pPr>
            <w:r>
              <w:rPr>
                <w:rFonts w:hint="eastAsia" w:ascii="宋体" w:hAnsi="宋体" w:eastAsia="宋体" w:cs="宋体"/>
                <w:b w:val="0"/>
                <w:bCs/>
                <w:i w:val="0"/>
                <w:color w:val="000000"/>
                <w:kern w:val="0"/>
                <w:sz w:val="20"/>
                <w:szCs w:val="20"/>
                <w:u w:val="none"/>
                <w:lang w:val="en-US" w:eastAsia="zh-CN" w:bidi="ar"/>
              </w:rPr>
              <w:t>景区对外开放天数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i w:val="0"/>
                <w:iCs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&gt;=350天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工作计划</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iCs w:val="0"/>
                <w:color w:val="000000"/>
                <w:sz w:val="24"/>
                <w:szCs w:val="24"/>
                <w:u w:val="none"/>
                <w:lang w:val="en-US" w:eastAsia="zh-CN"/>
              </w:rPr>
            </w:pPr>
            <w:r>
              <w:rPr>
                <w:rFonts w:hint="eastAsia" w:cs="Times New Roman"/>
                <w:i w:val="0"/>
                <w:iCs w:val="0"/>
                <w:color w:val="000000"/>
                <w:sz w:val="24"/>
                <w:szCs w:val="24"/>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110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i w:val="0"/>
                <w:iCs w:val="0"/>
                <w:color w:val="000000"/>
                <w:sz w:val="20"/>
                <w:szCs w:val="20"/>
                <w:highlight w:val="none"/>
                <w:u w:val="none"/>
              </w:rPr>
            </w:pP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博格达沁古城北墙修缮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i w:val="0"/>
                <w:iCs w:val="0"/>
                <w:color w:val="000000"/>
                <w:sz w:val="20"/>
                <w:szCs w:val="20"/>
                <w:highlight w:val="none"/>
                <w:u w:val="none"/>
              </w:rPr>
            </w:pPr>
            <w:r>
              <w:rPr>
                <w:rFonts w:hint="eastAsia" w:ascii="宋体" w:hAnsi="宋体" w:eastAsia="宋体" w:cs="宋体"/>
                <w:b w:val="0"/>
                <w:bCs/>
                <w:i w:val="0"/>
                <w:color w:val="000000"/>
                <w:kern w:val="0"/>
                <w:sz w:val="20"/>
                <w:szCs w:val="20"/>
                <w:u w:val="none"/>
                <w:lang w:val="en-US" w:eastAsia="zh-CN" w:bidi="ar"/>
              </w:rPr>
              <w:t>=1项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default" w:ascii="Times New Roman" w:hAnsi="Times New Roman" w:eastAsia="宋体" w:cs="Times New Roman"/>
                <w:i w:val="0"/>
                <w:iCs w:val="0"/>
                <w:color w:val="000000"/>
                <w:sz w:val="20"/>
                <w:szCs w:val="20"/>
                <w:u w:val="none"/>
              </w:rPr>
              <w:t>工作计划</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4"/>
                <w:szCs w:val="24"/>
                <w:highlight w:val="none"/>
                <w:u w:val="none"/>
                <w:lang w:val="en-US"/>
              </w:rPr>
            </w:pPr>
            <w:r>
              <w:rPr>
                <w:rFonts w:hint="eastAsia" w:cs="Times New Roman"/>
                <w:i w:val="0"/>
                <w:iCs w:val="0"/>
                <w:color w:val="000000"/>
                <w:sz w:val="24"/>
                <w:szCs w:val="24"/>
                <w:u w:val="none"/>
                <w:lang w:val="en-US" w:eastAsia="zh-CN"/>
              </w:rPr>
              <w:t>25</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left"/>
        <w:textAlignment w:val="auto"/>
        <w:outlineLvl w:val="9"/>
        <w:rPr>
          <w:rFonts w:hint="eastAsia" w:ascii="黑体" w:hAnsi="黑体" w:eastAsia="黑体"/>
          <w:kern w:val="0"/>
          <w:sz w:val="32"/>
          <w:szCs w:val="32"/>
          <w:highlight w:val="none"/>
          <w:lang w:eastAsia="zh-CN"/>
        </w:rPr>
      </w:pPr>
      <w:r>
        <w:rPr>
          <w:rFonts w:hint="eastAsia" w:ascii="仿宋_GB2312" w:hAnsi="宋体" w:eastAsia="仿宋_GB2312" w:cs="宋体"/>
          <w:kern w:val="0"/>
          <w:sz w:val="32"/>
          <w:szCs w:val="32"/>
          <w:highlight w:val="none"/>
          <w:lang w:val="en-US" w:eastAsia="zh-CN"/>
        </w:rPr>
        <w:t>本单位无其他需说明的事项。</w:t>
      </w:r>
    </w:p>
    <w:p>
      <w:pPr>
        <w:rPr>
          <w:rFonts w:hint="eastAsia" w:ascii="黑体" w:hAnsi="黑体" w:eastAsia="黑体"/>
          <w:kern w:val="0"/>
          <w:sz w:val="32"/>
          <w:szCs w:val="32"/>
          <w:highlight w:val="none"/>
        </w:rPr>
      </w:pP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七个星佛寺遗址公园管理委员会</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月</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_x0000_s007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72"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DCW1l76QEA&#10;APUDAAAOAAAAAAAAAAEAIAAAAB8BAABkcnMvZTJvRG9jLnhtbFBLBQYAAAAABgAGAFkBAAB6BQAA&#10;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_x0000_s007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7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5dblS0AAAAAUB&#10;AAAPAAAAAAAAAAEAIAAAACIAAABkcnMvZG93bnJldi54bWxQSwECFAAUAAAACACHTuJAoJstlOoB&#10;AAD1AwAADgAAAAAAAAABACAAAAAfAQAAZHJzL2Uyb0RvYy54bWxQSwUGAAAAAAYABgBZAQAAewUA&#10;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63419A"/>
    <w:rsid w:val="020625FC"/>
    <w:rsid w:val="020C5685"/>
    <w:rsid w:val="034A3C2D"/>
    <w:rsid w:val="03D22D1B"/>
    <w:rsid w:val="03D75F2D"/>
    <w:rsid w:val="044D390D"/>
    <w:rsid w:val="053B7D31"/>
    <w:rsid w:val="06035DF5"/>
    <w:rsid w:val="060F3D8F"/>
    <w:rsid w:val="06736B7F"/>
    <w:rsid w:val="0877708F"/>
    <w:rsid w:val="09EA241D"/>
    <w:rsid w:val="0A9A3AE8"/>
    <w:rsid w:val="0AB26C68"/>
    <w:rsid w:val="0AC40CC3"/>
    <w:rsid w:val="0AEB0351"/>
    <w:rsid w:val="0B882121"/>
    <w:rsid w:val="0C346686"/>
    <w:rsid w:val="0D6E06FB"/>
    <w:rsid w:val="0D781939"/>
    <w:rsid w:val="0D8B4C5E"/>
    <w:rsid w:val="0DD77965"/>
    <w:rsid w:val="0F2806B6"/>
    <w:rsid w:val="0FEA323A"/>
    <w:rsid w:val="106670CB"/>
    <w:rsid w:val="10D274A8"/>
    <w:rsid w:val="11F30DE8"/>
    <w:rsid w:val="12F37CED"/>
    <w:rsid w:val="14AD0212"/>
    <w:rsid w:val="157244B3"/>
    <w:rsid w:val="157D01CA"/>
    <w:rsid w:val="15CA1F8D"/>
    <w:rsid w:val="179C703A"/>
    <w:rsid w:val="17FB4669"/>
    <w:rsid w:val="1814741F"/>
    <w:rsid w:val="184B262F"/>
    <w:rsid w:val="18C07C8E"/>
    <w:rsid w:val="1A3702A4"/>
    <w:rsid w:val="1B604F4D"/>
    <w:rsid w:val="1B842C24"/>
    <w:rsid w:val="1CA83444"/>
    <w:rsid w:val="1D4A6007"/>
    <w:rsid w:val="1D914E26"/>
    <w:rsid w:val="1E1F6253"/>
    <w:rsid w:val="1E7D5849"/>
    <w:rsid w:val="1EB526BC"/>
    <w:rsid w:val="1ED53B21"/>
    <w:rsid w:val="203A4F8C"/>
    <w:rsid w:val="235B4F65"/>
    <w:rsid w:val="23D73F4B"/>
    <w:rsid w:val="23EC5812"/>
    <w:rsid w:val="25593AE5"/>
    <w:rsid w:val="256E5CE7"/>
    <w:rsid w:val="2917009F"/>
    <w:rsid w:val="29F25058"/>
    <w:rsid w:val="2B3B47C1"/>
    <w:rsid w:val="2D696D05"/>
    <w:rsid w:val="2DB11629"/>
    <w:rsid w:val="2EC538E4"/>
    <w:rsid w:val="2ECC02AD"/>
    <w:rsid w:val="2F093C7D"/>
    <w:rsid w:val="30457902"/>
    <w:rsid w:val="31E50833"/>
    <w:rsid w:val="32747A4E"/>
    <w:rsid w:val="32DA40DD"/>
    <w:rsid w:val="33EA6DA9"/>
    <w:rsid w:val="342C27B4"/>
    <w:rsid w:val="348954F6"/>
    <w:rsid w:val="34C55D81"/>
    <w:rsid w:val="355654DD"/>
    <w:rsid w:val="36D2098B"/>
    <w:rsid w:val="375F4371"/>
    <w:rsid w:val="382F0A56"/>
    <w:rsid w:val="3853250B"/>
    <w:rsid w:val="38630100"/>
    <w:rsid w:val="3871174F"/>
    <w:rsid w:val="39377046"/>
    <w:rsid w:val="396D73FD"/>
    <w:rsid w:val="39F1624A"/>
    <w:rsid w:val="3B643CFE"/>
    <w:rsid w:val="3D624DAD"/>
    <w:rsid w:val="3D770B2A"/>
    <w:rsid w:val="3DBA4FBE"/>
    <w:rsid w:val="3DD072A5"/>
    <w:rsid w:val="3DDF5444"/>
    <w:rsid w:val="3EC52E3E"/>
    <w:rsid w:val="400F7666"/>
    <w:rsid w:val="416B4B10"/>
    <w:rsid w:val="422C619B"/>
    <w:rsid w:val="44314890"/>
    <w:rsid w:val="44A5719D"/>
    <w:rsid w:val="47974456"/>
    <w:rsid w:val="49067E75"/>
    <w:rsid w:val="49E01F1C"/>
    <w:rsid w:val="4A397775"/>
    <w:rsid w:val="4A833566"/>
    <w:rsid w:val="4B687EB9"/>
    <w:rsid w:val="4D346A9D"/>
    <w:rsid w:val="4D3D7ABD"/>
    <w:rsid w:val="5086387C"/>
    <w:rsid w:val="50E54B31"/>
    <w:rsid w:val="50EE2DFB"/>
    <w:rsid w:val="51686F77"/>
    <w:rsid w:val="51A85810"/>
    <w:rsid w:val="52B10E2E"/>
    <w:rsid w:val="52D61D01"/>
    <w:rsid w:val="538A5014"/>
    <w:rsid w:val="554237AC"/>
    <w:rsid w:val="555D1A1D"/>
    <w:rsid w:val="5588467D"/>
    <w:rsid w:val="566244FE"/>
    <w:rsid w:val="56BF7C66"/>
    <w:rsid w:val="586F3564"/>
    <w:rsid w:val="59BD574E"/>
    <w:rsid w:val="5AE07ECF"/>
    <w:rsid w:val="5AF94CCA"/>
    <w:rsid w:val="5B39664C"/>
    <w:rsid w:val="5B6711BA"/>
    <w:rsid w:val="5C825D16"/>
    <w:rsid w:val="5DE3114F"/>
    <w:rsid w:val="5DEE0160"/>
    <w:rsid w:val="5E3229D0"/>
    <w:rsid w:val="5EBD35D7"/>
    <w:rsid w:val="5EC06A00"/>
    <w:rsid w:val="5FD44A35"/>
    <w:rsid w:val="614C4EBF"/>
    <w:rsid w:val="62E2546A"/>
    <w:rsid w:val="62F34A7C"/>
    <w:rsid w:val="638949C6"/>
    <w:rsid w:val="641B6496"/>
    <w:rsid w:val="64524562"/>
    <w:rsid w:val="651F58F9"/>
    <w:rsid w:val="652F7F52"/>
    <w:rsid w:val="65751912"/>
    <w:rsid w:val="665F785D"/>
    <w:rsid w:val="66A357DC"/>
    <w:rsid w:val="68702805"/>
    <w:rsid w:val="698453D3"/>
    <w:rsid w:val="6A0A38A9"/>
    <w:rsid w:val="6A0D3AA6"/>
    <w:rsid w:val="6DDA39EB"/>
    <w:rsid w:val="6E830BCB"/>
    <w:rsid w:val="6EE4465D"/>
    <w:rsid w:val="6F47268A"/>
    <w:rsid w:val="6F7F6789"/>
    <w:rsid w:val="70944EA6"/>
    <w:rsid w:val="71C21B88"/>
    <w:rsid w:val="72146AF5"/>
    <w:rsid w:val="725C477A"/>
    <w:rsid w:val="72AD4660"/>
    <w:rsid w:val="73575D11"/>
    <w:rsid w:val="74726E0A"/>
    <w:rsid w:val="74C56056"/>
    <w:rsid w:val="75411F4D"/>
    <w:rsid w:val="75B76BBE"/>
    <w:rsid w:val="774C0420"/>
    <w:rsid w:val="77B319F1"/>
    <w:rsid w:val="78316569"/>
    <w:rsid w:val="7876702B"/>
    <w:rsid w:val="7966408E"/>
    <w:rsid w:val="7AFB776E"/>
    <w:rsid w:val="7B404666"/>
    <w:rsid w:val="7BEA23B4"/>
    <w:rsid w:val="7E575F6D"/>
    <w:rsid w:val="7E7E75FB"/>
    <w:rsid w:val="7EDA350A"/>
    <w:rsid w:val="7EE548BB"/>
    <w:rsid w:val="7EE976B8"/>
    <w:rsid w:val="7EEC1BF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表格文字"/>
    <w:basedOn w:val="15"/>
    <w:qFormat/>
    <w:uiPriority w:val="0"/>
    <w:rPr>
      <w:rFonts w:ascii="Calibri" w:hAnsi="Calibri" w:eastAsia="仿宋_GB2312"/>
      <w:sz w:val="18"/>
    </w:rPr>
  </w:style>
  <w:style w:type="character" w:customStyle="1" w:styleId="20">
    <w:name w:val="预算公开正文内容"/>
    <w:basedOn w:val="15"/>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db43c-6625-43f1-bfd8-fe90c5b601bb}">
  <ds:schemaRefs/>
</ds:datastoreItem>
</file>

<file path=customXml/itemProps3.xml><?xml version="1.0" encoding="utf-8"?>
<ds:datastoreItem xmlns:ds="http://schemas.openxmlformats.org/officeDocument/2006/customXml" ds:itemID="{779ecd30-518e-4c19-b9ab-ad55d331471e}">
  <ds:schemaRefs/>
</ds:datastoreItem>
</file>

<file path=customXml/itemProps4.xml><?xml version="1.0" encoding="utf-8"?>
<ds:datastoreItem xmlns:ds="http://schemas.openxmlformats.org/officeDocument/2006/customXml" ds:itemID="{c8903ded-9e4b-4b50-8ae8-5fc2ce6e385e}">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2</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2025-03-26T08:48:00Z</cp:lastPrinted>
  <dcterms:modified xsi:type="dcterms:W3CDTF">2025-04-24T04:47:22Z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