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焉耆回族自治县交通运输局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一、关于焉耆回族自治县交通运输局2025年收支预算情况的总体说明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二、关于焉耆回族自治县交通运输局2025年收入预算情况说明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三、关于焉耆回族自治县交通运输局2025年支出预算情况说明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四、关于焉耆回族自治县交通运输局2025年财政拨款收支预算情况的总体说明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五、关于焉耆回族自治县交通运输局2025年一般公共预算当年拨款情况说明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六、关于焉耆回族自治县交通运输局2025年一般公共预算基本支出情况说明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七、关于焉耆回族自治县交通运输局2025年一般公共预算项目支出情况说明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八、关于焉耆回族自治县交通运输局2025年政府性基金预算拨款情况说明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九、关于焉耆回族自治县交通运输局2025年国有资本经营预算拨款情况说明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十、关于焉耆回族自治县交通运输局2025年财政拨款“三公”经费预算情况说明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十一、关于焉耆回族自治县交通运输局2025年上年结转结余预算情况说明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bCs w:val="0"/>
          <w:color w:val="auto"/>
          <w:kern w:val="0"/>
          <w:sz w:val="32"/>
          <w:szCs w:val="32"/>
          <w:highlight w:val="none"/>
          <w:lang w:val="en-US" w:eastAsia="zh-CN"/>
        </w:rPr>
      </w:pPr>
      <w:r>
        <w:rPr>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贯彻执行国家、自治区、自治州有关公路交通运输行业的方针、政策、法规；拟订自治县公路交通运输发展规划、计划并组织实施；会同有关单位组织编制自治县综合运输体系规划；参与拟订自治县物流业发展战略与规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2.负责城乡客运及有关设施规划和管理工作；负责城市公共汽车和客运出租汽车行业管理工作。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提出自治县公路固定资产投资规模和方向、财政性资金安排意见，按规定权限审批、核准规划内和年度计划规模内固定资产投资项目。会同有关单位制定和执行交通运输行业价格，对涉及财政、土地、价格等方面的问题提出政策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承担农村公路建设市场监管责任。拟订自治县农村公路相关政策、制度和技术标准并监督实施。负责农村公路工程建设和工程质量、安全生产监督管理工作。指导交通基础设施管理和维护，承担重要设施的管理和维护。负责农村公路及管辖范围内专用公路的建设、养护和路政综合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5.负责自治县交通运输行业体制改革；会同有关单位培育、管理交通基础设施建设、运输市场，维护自治县交通运输行业的平等竟争秩序，引导交通运输行业优化、协调发展。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6.会同有关单位指导自治县公路交通运输安全生产和应急管理工作。组织协调自治县重点物资和紧急客货运输。承担自治县交通战备工作。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贯彻执行交通行业科技政策、技术标准和规范；组织实旗交通行业科研项目和科技成果的推广应用；负责交通运输行业信息化建设，监测分析运行情况，开展相关统计工作，发布有关信息；指导自治县交通运输行业环境保护和节能减排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8.负责交通运输行业的法制宣传、教育培训、行政应诉、行政执法和监督工作。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9.指导交通运输行业开展区域性经济技术合作与交流及利用外资工作。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10.承办自治县人民政府交办的其他事项。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焉耆回族自治县交通运输局</w:t>
      </w:r>
      <w:r>
        <w:rPr>
          <w:rFonts w:hint="eastAsia" w:ascii="仿宋_GB2312" w:hAnsi="黑体" w:eastAsia="仿宋_GB2312" w:cs="宋体"/>
          <w:bCs/>
          <w:color w:val="auto"/>
          <w:kern w:val="0"/>
          <w:sz w:val="32"/>
          <w:szCs w:val="32"/>
          <w:highlight w:val="none"/>
          <w:lang w:val="en-US" w:eastAsia="zh-CN"/>
        </w:rPr>
        <w:t>无下属预算单位。下设4个处室，分别是：行政办公室、综合业务室、行政执法大队、财务室。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焉耆回族自治县交通运输局</w:t>
      </w:r>
      <w:r>
        <w:rPr>
          <w:rFonts w:hint="eastAsia" w:ascii="仿宋_GB2312" w:hAnsi="黑体" w:eastAsia="仿宋_GB2312" w:cs="宋体"/>
          <w:bCs/>
          <w:color w:val="auto"/>
          <w:kern w:val="0"/>
          <w:sz w:val="32"/>
          <w:szCs w:val="32"/>
          <w:highlight w:val="none"/>
          <w:lang w:val="en-US" w:eastAsia="zh-CN"/>
        </w:rPr>
        <w:t>编制数为29，实有人数为38人，其中：在职28人，增加2人；退休10人，减少1人；离休0人，增加0人。</w:t>
      </w:r>
    </w:p>
    <w:p>
      <w:pPr>
        <w:rPr>
          <w:rFonts w:hint="default" w:ascii="Times New Roman" w:hAnsi="Times New Roman" w:eastAsia="黑体" w:cs="Times New Roman"/>
          <w:color w:val="auto"/>
          <w:kern w:val="0"/>
          <w:sz w:val="32"/>
          <w:szCs w:val="32"/>
          <w:highlight w:val="none"/>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年</w:t>
      </w:r>
      <w:r>
        <w:rPr>
          <w:rFonts w:hint="default" w:ascii="Times New Roman" w:hAnsi="Times New Roman" w:eastAsia="黑体" w:cs="Times New Roman"/>
          <w:color w:val="auto"/>
          <w:kern w:val="0"/>
          <w:sz w:val="32"/>
          <w:szCs w:val="32"/>
          <w:highlight w:val="none"/>
          <w:lang w:eastAsia="zh-CN"/>
        </w:rPr>
        <w:t>单位</w:t>
      </w:r>
      <w:r>
        <w:rPr>
          <w:rFonts w:hint="default" w:ascii="Times New Roman" w:hAnsi="Times New Roman" w:eastAsia="黑体" w:cs="Times New Roman"/>
          <w:color w:val="auto"/>
          <w:kern w:val="0"/>
          <w:sz w:val="32"/>
          <w:szCs w:val="32"/>
          <w:highlight w:val="none"/>
        </w:rPr>
        <w:t>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eastAsia="zh-CN"/>
        </w:rPr>
        <w:t>单位</w:t>
      </w:r>
      <w:r>
        <w:rPr>
          <w:rFonts w:hint="default" w:ascii="Times New Roman" w:hAnsi="Times New Roman" w:eastAsia="仿宋_GB2312" w:cs="Times New Roman"/>
          <w:b/>
          <w:color w:val="auto"/>
          <w:kern w:val="0"/>
          <w:sz w:val="32"/>
          <w:szCs w:val="32"/>
          <w:highlight w:val="none"/>
        </w:rPr>
        <w:t>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2257.</w:t>
            </w:r>
            <w:r>
              <w:rPr>
                <w:rFonts w:hint="eastAsia" w:eastAsia="仿宋_GB2312" w:cs="Times New Roman"/>
                <w:color w:val="auto"/>
                <w:kern w:val="0"/>
                <w:sz w:val="20"/>
                <w:szCs w:val="20"/>
                <w:highlight w:val="none"/>
                <w:lang w:val="en-US" w:eastAsia="zh-CN"/>
              </w:rPr>
              <w:t>4</w:t>
            </w:r>
            <w:r>
              <w:rPr>
                <w:rFonts w:hint="default" w:ascii="Times New Roman" w:hAnsi="Times New Roman" w:eastAsia="仿宋_GB2312" w:cs="Times New Roman"/>
                <w:color w:val="auto"/>
                <w:kern w:val="0"/>
                <w:sz w:val="20"/>
                <w:szCs w:val="20"/>
                <w:highlight w:val="none"/>
                <w:lang w:val="en-US" w:eastAsia="zh-CN"/>
              </w:rPr>
              <w:t>7</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2257.</w:t>
            </w:r>
            <w:r>
              <w:rPr>
                <w:rFonts w:hint="eastAsia" w:eastAsia="仿宋_GB2312" w:cs="Times New Roman"/>
                <w:color w:val="auto"/>
                <w:kern w:val="0"/>
                <w:sz w:val="20"/>
                <w:szCs w:val="20"/>
                <w:highlight w:val="none"/>
                <w:lang w:val="en-US" w:eastAsia="zh-CN"/>
              </w:rPr>
              <w:t>4</w:t>
            </w:r>
            <w:r>
              <w:rPr>
                <w:rFonts w:hint="default" w:ascii="Times New Roman" w:hAnsi="Times New Roman" w:eastAsia="仿宋_GB2312" w:cs="Times New Roman"/>
                <w:color w:val="auto"/>
                <w:kern w:val="0"/>
                <w:sz w:val="20"/>
                <w:szCs w:val="20"/>
                <w:highlight w:val="none"/>
                <w:lang w:val="en-US" w:eastAsia="zh-CN"/>
              </w:rPr>
              <w:t>7</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478.02</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18"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1779.45</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both"/>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tabs>
                <w:tab w:val="left" w:pos="278"/>
                <w:tab w:val="right" w:pos="1785"/>
              </w:tabs>
              <w:spacing w:line="280" w:lineRule="exact"/>
              <w:ind w:leftChars="0"/>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74.91</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480" w:lineRule="auto"/>
              <w:ind w:leftChar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27.64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2118.79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36.13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numPr>
                <w:ilvl w:val="0"/>
                <w:numId w:val="0"/>
              </w:numPr>
              <w:spacing w:line="280" w:lineRule="exact"/>
              <w:ind w:leftChars="0"/>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both"/>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numPr>
                <w:ilvl w:val="0"/>
                <w:numId w:val="0"/>
              </w:numPr>
              <w:spacing w:line="280" w:lineRule="exact"/>
              <w:ind w:leftChars="0"/>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ind w:firstLine="540" w:firstLineChars="300"/>
              <w:jc w:val="both"/>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2257.57</w:t>
            </w:r>
          </w:p>
        </w:tc>
        <w:tc>
          <w:tcPr>
            <w:tcW w:w="2693" w:type="dxa"/>
            <w:tcBorders>
              <w:top w:val="nil"/>
              <w:left w:val="nil"/>
              <w:bottom w:val="single" w:color="auto" w:sz="4" w:space="0"/>
              <w:right w:val="nil"/>
            </w:tcBorders>
            <w:noWrap w:val="0"/>
            <w:vAlign w:val="center"/>
          </w:tcPr>
          <w:p>
            <w:pPr>
              <w:widowControl/>
              <w:spacing w:line="280" w:lineRule="exact"/>
              <w:ind w:firstLine="360" w:firstLineChars="200"/>
              <w:jc w:val="both"/>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2257.57</w:t>
            </w:r>
          </w:p>
        </w:tc>
      </w:tr>
    </w:tbl>
    <w:p>
      <w:pPr>
        <w:keepNext w:val="0"/>
        <w:keepLines w:val="0"/>
        <w:widowControl/>
        <w:suppressLineNumbers w:val="0"/>
        <w:jc w:val="both"/>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lang w:eastAsia="zh-CN"/>
        </w:rPr>
        <w:t>单位</w:t>
      </w:r>
      <w:r>
        <w:rPr>
          <w:rFonts w:hint="default" w:ascii="Times New Roman" w:hAnsi="Times New Roman" w:eastAsia="仿宋_GB2312" w:cs="Times New Roman"/>
          <w:b/>
          <w:bCs w:val="0"/>
          <w:color w:val="auto"/>
          <w:kern w:val="0"/>
          <w:sz w:val="32"/>
          <w:szCs w:val="32"/>
          <w:highlight w:val="none"/>
        </w:rPr>
        <w:t>收入总体情况表</w:t>
      </w:r>
    </w:p>
    <w:p>
      <w:pPr>
        <w:widowControl/>
        <w:spacing w:line="280" w:lineRule="exact"/>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0"/>
        <w:tblW w:w="10935" w:type="dxa"/>
        <w:tblInd w:w="-708" w:type="dxa"/>
        <w:tblLayout w:type="fixed"/>
        <w:tblCellMar>
          <w:top w:w="0" w:type="dxa"/>
          <w:left w:w="108" w:type="dxa"/>
          <w:bottom w:w="0" w:type="dxa"/>
          <w:right w:w="108" w:type="dxa"/>
        </w:tblCellMar>
      </w:tblPr>
      <w:tblGrid>
        <w:gridCol w:w="516"/>
        <w:gridCol w:w="444"/>
        <w:gridCol w:w="420"/>
        <w:gridCol w:w="2168"/>
        <w:gridCol w:w="920"/>
        <w:gridCol w:w="947"/>
        <w:gridCol w:w="827"/>
        <w:gridCol w:w="893"/>
        <w:gridCol w:w="400"/>
        <w:gridCol w:w="653"/>
        <w:gridCol w:w="414"/>
        <w:gridCol w:w="640"/>
        <w:gridCol w:w="376"/>
        <w:gridCol w:w="387"/>
        <w:gridCol w:w="506"/>
        <w:gridCol w:w="424"/>
      </w:tblGrid>
      <w:tr>
        <w:tblPrEx>
          <w:tblCellMar>
            <w:top w:w="0" w:type="dxa"/>
            <w:left w:w="108" w:type="dxa"/>
            <w:bottom w:w="0" w:type="dxa"/>
            <w:right w:w="108" w:type="dxa"/>
          </w:tblCellMar>
        </w:tblPrEx>
        <w:trPr>
          <w:trHeight w:val="697" w:hRule="atLeast"/>
        </w:trPr>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功能分类科目编码</w:t>
            </w:r>
          </w:p>
        </w:tc>
        <w:tc>
          <w:tcPr>
            <w:tcW w:w="216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总  计</w:t>
            </w:r>
          </w:p>
        </w:tc>
        <w:tc>
          <w:tcPr>
            <w:tcW w:w="477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  政  拨  款  (  补  助  )</w:t>
            </w:r>
          </w:p>
        </w:tc>
        <w:tc>
          <w:tcPr>
            <w:tcW w:w="37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0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2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465" w:hRule="atLeast"/>
        </w:trPr>
        <w:tc>
          <w:tcPr>
            <w:tcW w:w="51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44"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16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8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1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37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208</w:t>
            </w:r>
          </w:p>
        </w:tc>
        <w:tc>
          <w:tcPr>
            <w:tcW w:w="44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p>
        </w:tc>
        <w:tc>
          <w:tcPr>
            <w:tcW w:w="4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p>
        </w:tc>
        <w:tc>
          <w:tcPr>
            <w:tcW w:w="21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rPr>
              <w:t>社会保障和就业支出</w:t>
            </w:r>
          </w:p>
        </w:tc>
        <w:tc>
          <w:tcPr>
            <w:tcW w:w="92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94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82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8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21"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208</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19"/>
                <w:szCs w:val="19"/>
                <w:highlight w:val="none"/>
                <w:shd w:val="clear" w:color="auto" w:fill="auto"/>
              </w:rPr>
              <w:t>行政事业单位养老支出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74.91</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57"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208</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rPr>
              <w:t>行政单位离退休</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2.64</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2.64</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2.64</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FF"/>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208</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05</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rPr>
              <w:t>机关事业单位基本养老保险缴费支出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48.18</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48.18</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48.18</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208</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06</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20"/>
                <w:szCs w:val="20"/>
                <w:highlight w:val="none"/>
                <w:shd w:val="clear" w:color="auto" w:fill="auto"/>
              </w:rPr>
              <w:t>机关事业单位职业年金缴费支出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24.09</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24.09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24.09</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69"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210</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卫生健康支出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297"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210</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行政事业单位医疗</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27.64</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21"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210</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行政单位医疗</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13.9</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13.9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13.9</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themeColor="text1"/>
                <w:sz w:val="20"/>
                <w:szCs w:val="20"/>
                <w:highlight w:val="none"/>
                <w:lang w:val="en-US" w:eastAsia="zh-CN"/>
                <w14:textFill>
                  <w14:solidFill>
                    <w14:schemeClr w14:val="tx1"/>
                  </w14:solidFill>
                </w14:textFill>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21"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210</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02</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事业单位医疗</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8.29</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8.29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8.29</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210</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03</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公务员医疗补助</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5.45</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5.45</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5.45</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28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交通运输支出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2118.79</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2118.79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339.34</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1779.45</w:t>
            </w: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41"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公路水路运输</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2118.79</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2118.79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339.34</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1779.45</w:t>
            </w: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47"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行政运行</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225.32</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225.32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225.32</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FF"/>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04</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公路建设</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1159.2</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1159.2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rPr>
            </w:pP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1159.2</w:t>
            </w: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97"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06</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公路养护</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620.25</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620.25</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620.25</w:t>
            </w: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214</w:t>
            </w:r>
          </w:p>
        </w:tc>
        <w:tc>
          <w:tcPr>
            <w:tcW w:w="444" w:type="dxa"/>
            <w:tcBorders>
              <w:top w:val="nil"/>
              <w:left w:val="nil"/>
              <w:bottom w:val="single" w:color="auto" w:sz="4" w:space="0"/>
              <w:right w:val="single" w:color="auto" w:sz="4" w:space="0"/>
            </w:tcBorders>
            <w:noWrap w:val="0"/>
            <w:vAlign w:val="center"/>
          </w:tcPr>
          <w:p>
            <w:pPr>
              <w:widowControl/>
              <w:tabs>
                <w:tab w:val="center" w:pos="142"/>
                <w:tab w:val="right" w:pos="405"/>
              </w:tabs>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99</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rPr>
            </w:pPr>
            <w:r>
              <w:rPr>
                <w:rFonts w:hint="default" w:ascii="Times New Roman" w:hAnsi="Times New Roman" w:eastAsia="仿宋_GB2312" w:cs="Times New Roman"/>
                <w:b w:val="0"/>
                <w:bCs w:val="0"/>
                <w:color w:val="auto"/>
                <w:kern w:val="0"/>
                <w:sz w:val="19"/>
                <w:szCs w:val="19"/>
                <w:highlight w:val="none"/>
                <w:shd w:val="clear" w:color="auto" w:fill="auto"/>
                <w:lang w:val="en-US" w:eastAsia="zh-CN"/>
              </w:rPr>
              <w:t>其他公路水路运输支出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114.02</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114.02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auto"/>
                <w:sz w:val="20"/>
                <w:szCs w:val="20"/>
                <w:highlight w:val="none"/>
                <w:lang w:val="en-US" w:eastAsia="zh-CN"/>
              </w:rPr>
              <w:t>114.02</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215</w:t>
            </w:r>
          </w:p>
        </w:tc>
        <w:tc>
          <w:tcPr>
            <w:tcW w:w="444" w:type="dxa"/>
            <w:tcBorders>
              <w:top w:val="nil"/>
              <w:left w:val="nil"/>
              <w:bottom w:val="single" w:color="auto" w:sz="4" w:space="0"/>
              <w:right w:val="single" w:color="auto" w:sz="4" w:space="0"/>
            </w:tcBorders>
            <w:noWrap w:val="0"/>
            <w:vAlign w:val="center"/>
          </w:tcPr>
          <w:p>
            <w:pPr>
              <w:widowControl/>
              <w:tabs>
                <w:tab w:val="center" w:pos="142"/>
                <w:tab w:val="right" w:pos="405"/>
              </w:tabs>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资源勘探工业信息等支出</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0.1</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14:textFill>
                  <w14:solidFill>
                    <w14:schemeClr w14:val="tx1"/>
                  </w14:solidFill>
                </w14:textFill>
              </w:rPr>
            </w:pP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215</w:t>
            </w:r>
          </w:p>
        </w:tc>
        <w:tc>
          <w:tcPr>
            <w:tcW w:w="444" w:type="dxa"/>
            <w:tcBorders>
              <w:top w:val="nil"/>
              <w:left w:val="nil"/>
              <w:bottom w:val="single" w:color="auto" w:sz="4" w:space="0"/>
              <w:right w:val="single" w:color="auto" w:sz="4" w:space="0"/>
            </w:tcBorders>
            <w:noWrap w:val="0"/>
            <w:vAlign w:val="center"/>
          </w:tcPr>
          <w:p>
            <w:pPr>
              <w:widowControl/>
              <w:tabs>
                <w:tab w:val="center" w:pos="142"/>
                <w:tab w:val="right" w:pos="405"/>
              </w:tabs>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02</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制造业</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0.1</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14:textFill>
                  <w14:solidFill>
                    <w14:schemeClr w14:val="tx1"/>
                  </w14:solidFill>
                </w14:textFill>
              </w:rPr>
            </w:pP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215</w:t>
            </w:r>
          </w:p>
        </w:tc>
        <w:tc>
          <w:tcPr>
            <w:tcW w:w="444" w:type="dxa"/>
            <w:tcBorders>
              <w:top w:val="nil"/>
              <w:left w:val="nil"/>
              <w:bottom w:val="single" w:color="auto" w:sz="4" w:space="0"/>
              <w:right w:val="single" w:color="auto" w:sz="4" w:space="0"/>
            </w:tcBorders>
            <w:noWrap w:val="0"/>
            <w:vAlign w:val="center"/>
          </w:tcPr>
          <w:p>
            <w:pPr>
              <w:widowControl/>
              <w:tabs>
                <w:tab w:val="center" w:pos="142"/>
                <w:tab w:val="right" w:pos="405"/>
              </w:tabs>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02</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08</w:t>
            </w: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交通运输设备制造业</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t>0.1</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lang w:val="en-US" w:eastAsia="zh-CN"/>
                <w14:textFill>
                  <w14:solidFill>
                    <w14:schemeClr w14:val="tx1"/>
                  </w14:solidFill>
                </w14:textFill>
              </w:rPr>
            </w:pP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00" w:themeColor="text1"/>
                <w:kern w:val="0"/>
                <w:sz w:val="20"/>
                <w:szCs w:val="20"/>
                <w:highlight w:val="none"/>
                <w:shd w:val="clear" w:color="auto" w:fill="auto"/>
                <w14:textFill>
                  <w14:solidFill>
                    <w14:schemeClr w14:val="tx1"/>
                  </w14:solidFill>
                </w14:textFill>
              </w:rPr>
            </w:pP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21"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221</w:t>
            </w:r>
          </w:p>
        </w:tc>
        <w:tc>
          <w:tcPr>
            <w:tcW w:w="44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p>
        </w:tc>
        <w:tc>
          <w:tcPr>
            <w:tcW w:w="4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p>
        </w:tc>
        <w:tc>
          <w:tcPr>
            <w:tcW w:w="21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住房保障支出</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94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0000FF"/>
                <w:sz w:val="20"/>
                <w:szCs w:val="20"/>
                <w:highlight w:val="yellow"/>
                <w:lang w:val="en-US" w:eastAsia="zh-CN"/>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 w:val="20"/>
                <w:szCs w:val="20"/>
                <w:highlight w:val="yellow"/>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09"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221</w:t>
            </w:r>
          </w:p>
        </w:tc>
        <w:tc>
          <w:tcPr>
            <w:tcW w:w="44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02</w:t>
            </w:r>
          </w:p>
        </w:tc>
        <w:tc>
          <w:tcPr>
            <w:tcW w:w="4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p>
        </w:tc>
        <w:tc>
          <w:tcPr>
            <w:tcW w:w="21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住房改革支出</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94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57"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221</w:t>
            </w:r>
          </w:p>
        </w:tc>
        <w:tc>
          <w:tcPr>
            <w:tcW w:w="44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02</w:t>
            </w:r>
          </w:p>
        </w:tc>
        <w:tc>
          <w:tcPr>
            <w:tcW w:w="4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01</w:t>
            </w:r>
          </w:p>
        </w:tc>
        <w:tc>
          <w:tcPr>
            <w:tcW w:w="21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住房公积金</w:t>
            </w:r>
          </w:p>
        </w:tc>
        <w:tc>
          <w:tcPr>
            <w:tcW w:w="9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94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bidi="ar-SA"/>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36.13</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lang w:val="en-US" w:eastAsia="zh-CN"/>
              </w:rPr>
            </w:pP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shd w:val="clear" w:color="auto" w:fill="auto"/>
              </w:rPr>
            </w:pPr>
          </w:p>
        </w:tc>
        <w:tc>
          <w:tcPr>
            <w:tcW w:w="4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shd w:val="clear" w:color="auto" w:fill="auto"/>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shd w:val="clear" w:color="auto" w:fill="auto"/>
              </w:rPr>
            </w:pPr>
          </w:p>
        </w:tc>
        <w:tc>
          <w:tcPr>
            <w:tcW w:w="2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shd w:val="clear" w:color="auto" w:fill="auto"/>
                <w:lang w:val="en-US" w:eastAsia="zh-CN"/>
              </w:rPr>
            </w:pPr>
            <w:r>
              <w:rPr>
                <w:rFonts w:hint="default" w:ascii="Times New Roman" w:hAnsi="Times New Roman" w:eastAsia="仿宋_GB2312" w:cs="Times New Roman"/>
                <w:b w:val="0"/>
                <w:bCs w:val="0"/>
                <w:color w:val="auto"/>
                <w:kern w:val="0"/>
                <w:sz w:val="18"/>
                <w:szCs w:val="18"/>
                <w:highlight w:val="none"/>
                <w:shd w:val="clear" w:color="auto" w:fill="auto"/>
                <w:lang w:val="en-US" w:eastAsia="zh-CN"/>
              </w:rPr>
              <w:t>合  计</w:t>
            </w:r>
          </w:p>
        </w:tc>
        <w:tc>
          <w:tcPr>
            <w:tcW w:w="9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2257.57</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2257.47</w:t>
            </w:r>
          </w:p>
        </w:tc>
        <w:tc>
          <w:tcPr>
            <w:tcW w:w="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shd w:val="clear" w:color="auto" w:fill="auto"/>
                <w:lang w:val="en-US" w:eastAsia="zh-CN"/>
              </w:rPr>
            </w:pPr>
            <w:r>
              <w:rPr>
                <w:rFonts w:hint="default" w:ascii="Times New Roman" w:hAnsi="Times New Roman" w:eastAsia="仿宋_GB2312" w:cs="Times New Roman"/>
                <w:b w:val="0"/>
                <w:bCs w:val="0"/>
                <w:color w:val="auto"/>
                <w:kern w:val="0"/>
                <w:sz w:val="20"/>
                <w:szCs w:val="20"/>
                <w:highlight w:val="none"/>
                <w:shd w:val="clear" w:color="auto" w:fill="auto"/>
                <w:lang w:val="en-US" w:eastAsia="zh-CN"/>
              </w:rPr>
              <w:t>478.02</w:t>
            </w:r>
          </w:p>
        </w:tc>
        <w:tc>
          <w:tcPr>
            <w:tcW w:w="893" w:type="dxa"/>
            <w:tcBorders>
              <w:top w:val="nil"/>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1779.45</w:t>
            </w:r>
          </w:p>
        </w:tc>
        <w:tc>
          <w:tcPr>
            <w:tcW w:w="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0"/>
        <w:tblW w:w="9455" w:type="dxa"/>
        <w:tblInd w:w="-240" w:type="dxa"/>
        <w:tblLayout w:type="fixed"/>
        <w:tblCellMar>
          <w:top w:w="0" w:type="dxa"/>
          <w:left w:w="108" w:type="dxa"/>
          <w:bottom w:w="0" w:type="dxa"/>
          <w:right w:w="108" w:type="dxa"/>
        </w:tblCellMar>
      </w:tblPr>
      <w:tblGrid>
        <w:gridCol w:w="570"/>
        <w:gridCol w:w="480"/>
        <w:gridCol w:w="465"/>
        <w:gridCol w:w="2323"/>
        <w:gridCol w:w="1879"/>
        <w:gridCol w:w="1845"/>
        <w:gridCol w:w="1893"/>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617"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23"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79"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23"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9"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208</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社会保障和就业支出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74.91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74.91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208</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行政事业单位养老支出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74.91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74.91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208</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行政单位离退休</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2.64</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2.64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208</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05</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机关事业单位基本养老保险缴费支出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48.18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48.18</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208</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06</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机关事业单位职业年金缴费支出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24.09</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24.09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卫生健康支出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27.64</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27.64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27.64</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27.64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行政单位医疗</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13.9</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13.9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378"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02</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8.29</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8.29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36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03</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公务员医疗补助</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5.45</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5.45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36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交通运输支出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2118.79</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339.34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r>
      <w:tr>
        <w:tblPrEx>
          <w:tblCellMar>
            <w:top w:w="0" w:type="dxa"/>
            <w:left w:w="108" w:type="dxa"/>
            <w:bottom w:w="0" w:type="dxa"/>
            <w:right w:w="108" w:type="dxa"/>
          </w:tblCellMar>
        </w:tblPrEx>
        <w:trPr>
          <w:trHeight w:val="352"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公路水路运输</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rPr>
            </w:pPr>
            <w:r>
              <w:rPr>
                <w:rFonts w:hint="default" w:ascii="Times New Roman" w:hAnsi="Times New Roman" w:eastAsia="仿宋_GB2312" w:cs="Times New Roman"/>
                <w:color w:val="auto"/>
                <w:kern w:val="0"/>
                <w:sz w:val="20"/>
                <w:szCs w:val="20"/>
                <w:highlight w:val="none"/>
                <w:shd w:val="clear" w:color="auto" w:fill="auto"/>
                <w:lang w:val="en-US" w:eastAsia="zh-CN"/>
              </w:rPr>
              <w:t>2118.79</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339.34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225.32</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225.32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04</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公路建设</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1159.2</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1159.2</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06</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公路养护</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620.25</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620.25</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99</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其他公路水路运输支出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114.02</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114.02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资源勘探工业信息等支出</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02</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制造业</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02</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08</w:t>
            </w: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交通运输设备制造业</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14:textFill>
                  <w14:solidFill>
                    <w14:schemeClr w14:val="tx1"/>
                  </w14:solidFill>
                </w14:textFill>
              </w:rPr>
              <w:t>0.1</w:t>
            </w: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221</w:t>
            </w:r>
          </w:p>
        </w:tc>
        <w:tc>
          <w:tcPr>
            <w:tcW w:w="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46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232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187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4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0000FF"/>
                <w:kern w:val="0"/>
                <w:sz w:val="20"/>
                <w:szCs w:val="20"/>
                <w:highlight w:val="yellow"/>
                <w:shd w:val="clear" w:color="auto" w:fill="auto"/>
                <w:lang w:val="en-US" w:eastAsia="zh-CN"/>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221</w:t>
            </w:r>
          </w:p>
        </w:tc>
        <w:tc>
          <w:tcPr>
            <w:tcW w:w="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02</w:t>
            </w:r>
          </w:p>
        </w:tc>
        <w:tc>
          <w:tcPr>
            <w:tcW w:w="46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232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187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4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221</w:t>
            </w:r>
          </w:p>
        </w:tc>
        <w:tc>
          <w:tcPr>
            <w:tcW w:w="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02</w:t>
            </w:r>
          </w:p>
        </w:tc>
        <w:tc>
          <w:tcPr>
            <w:tcW w:w="46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232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187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4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36.13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r>
      <w:tr>
        <w:tblPrEx>
          <w:tblCellMar>
            <w:top w:w="0" w:type="dxa"/>
            <w:left w:w="108" w:type="dxa"/>
            <w:bottom w:w="0" w:type="dxa"/>
            <w:right w:w="108" w:type="dxa"/>
          </w:tblCellMar>
        </w:tblPrEx>
        <w:trPr>
          <w:trHeight w:val="405" w:hRule="atLeast"/>
        </w:trPr>
        <w:tc>
          <w:tcPr>
            <w:tcW w:w="5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23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合  计</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2257.57</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478.02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1779.55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w:t>
      </w:r>
      <w:r>
        <w:rPr>
          <w:rFonts w:hint="default" w:ascii="Times New Roman" w:hAnsi="Times New Roman" w:eastAsia="仿宋_GB2312" w:cs="Times New Roman"/>
          <w:color w:val="auto"/>
          <w:kern w:val="0"/>
          <w:sz w:val="24"/>
          <w:szCs w:val="24"/>
          <w:highlight w:val="none"/>
          <w:lang w:eastAsia="zh-CN"/>
        </w:rPr>
        <w:t>单位</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szCs w:val="24"/>
          <w:highlight w:val="none"/>
        </w:rPr>
        <w:t xml:space="preserve">                            单位：万元</w:t>
      </w:r>
    </w:p>
    <w:tbl>
      <w:tblPr>
        <w:tblStyle w:val="10"/>
        <w:tblW w:w="9595" w:type="dxa"/>
        <w:tblInd w:w="-386" w:type="dxa"/>
        <w:tblLayout w:type="fixed"/>
        <w:tblCellMar>
          <w:top w:w="0" w:type="dxa"/>
          <w:left w:w="108" w:type="dxa"/>
          <w:bottom w:w="0" w:type="dxa"/>
          <w:right w:w="108" w:type="dxa"/>
        </w:tblCellMar>
      </w:tblPr>
      <w:tblGrid>
        <w:gridCol w:w="2082"/>
        <w:gridCol w:w="914"/>
        <w:gridCol w:w="2580"/>
        <w:gridCol w:w="900"/>
        <w:gridCol w:w="851"/>
        <w:gridCol w:w="1134"/>
        <w:gridCol w:w="5"/>
        <w:gridCol w:w="1129"/>
      </w:tblGrid>
      <w:tr>
        <w:tblPrEx>
          <w:tblCellMar>
            <w:top w:w="0" w:type="dxa"/>
            <w:left w:w="108" w:type="dxa"/>
            <w:bottom w:w="0" w:type="dxa"/>
            <w:right w:w="108" w:type="dxa"/>
          </w:tblCellMar>
        </w:tblPrEx>
        <w:trPr>
          <w:trHeight w:val="285" w:hRule="atLeast"/>
        </w:trPr>
        <w:tc>
          <w:tcPr>
            <w:tcW w:w="29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2257.47</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2257.47</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74.91</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74.91</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27.64</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27.64</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2118.79</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2118.79</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36.13</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36.13</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2257.47</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2257.47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2257.47</w:t>
            </w: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0000FF"/>
                <w:kern w:val="0"/>
                <w:sz w:val="18"/>
                <w:szCs w:val="18"/>
                <w:highlight w:val="none"/>
              </w:rPr>
            </w:pPr>
            <w:r>
              <w:rPr>
                <w:rFonts w:hint="default" w:ascii="Times New Roman" w:hAnsi="Times New Roman" w:eastAsia="仿宋_GB2312" w:cs="Times New Roman"/>
                <w:color w:val="0000FF"/>
                <w:kern w:val="0"/>
                <w:sz w:val="18"/>
                <w:szCs w:val="18"/>
                <w:highlight w:val="none"/>
              </w:rPr>
              <w:t>　</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0000FF"/>
                <w:kern w:val="0"/>
                <w:sz w:val="18"/>
                <w:szCs w:val="1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sz w:val="18"/>
          <w:szCs w:val="18"/>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8940" w:type="dxa"/>
        <w:tblInd w:w="-34" w:type="dxa"/>
        <w:tblLayout w:type="fixed"/>
        <w:tblCellMar>
          <w:top w:w="0" w:type="dxa"/>
          <w:left w:w="108" w:type="dxa"/>
          <w:bottom w:w="0" w:type="dxa"/>
          <w:right w:w="108" w:type="dxa"/>
        </w:tblCellMar>
      </w:tblPr>
      <w:tblGrid>
        <w:gridCol w:w="616"/>
        <w:gridCol w:w="451"/>
        <w:gridCol w:w="450"/>
        <w:gridCol w:w="2351"/>
        <w:gridCol w:w="641"/>
        <w:gridCol w:w="994"/>
        <w:gridCol w:w="209"/>
        <w:gridCol w:w="1578"/>
        <w:gridCol w:w="1650"/>
      </w:tblGrid>
      <w:tr>
        <w:tblPrEx>
          <w:tblCellMar>
            <w:top w:w="0" w:type="dxa"/>
            <w:left w:w="108" w:type="dxa"/>
            <w:bottom w:w="0" w:type="dxa"/>
            <w:right w:w="108" w:type="dxa"/>
          </w:tblCellMar>
        </w:tblPrEx>
        <w:trPr>
          <w:trHeight w:val="476" w:hRule="atLeast"/>
        </w:trPr>
        <w:tc>
          <w:tcPr>
            <w:tcW w:w="894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357" w:hRule="atLeast"/>
        </w:trPr>
        <w:tc>
          <w:tcPr>
            <w:tcW w:w="4509"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p>
        </w:tc>
        <w:tc>
          <w:tcPr>
            <w:tcW w:w="120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228" w:type="dxa"/>
            <w:gridSpan w:val="2"/>
            <w:tcBorders>
              <w:top w:val="nil"/>
              <w:left w:val="nil"/>
              <w:bottom w:val="nil"/>
              <w:right w:val="nil"/>
            </w:tcBorders>
            <w:noWrap w:val="0"/>
            <w:vAlign w:val="center"/>
          </w:tcPr>
          <w:p>
            <w:pPr>
              <w:widowControl/>
              <w:ind w:firstLine="1440" w:firstLineChars="6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90" w:hRule="atLeast"/>
        </w:trPr>
        <w:tc>
          <w:tcPr>
            <w:tcW w:w="386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07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627"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3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8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5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31"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8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5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208</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rPr>
              <w:t>社会保障和就业支出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74.91</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74.91</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208</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05</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rPr>
              <w:t>行政事业单位养老支出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74.91</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74.91</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208</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05</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rPr>
              <w:t>行政单位离退休</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2.64</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2.64</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676"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208</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05</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05</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rPr>
              <w:t>机关事业单位基本养老保险缴费支出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48.18</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48.18</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676"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208</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05</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06</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rPr>
              <w:t>机关事业单位职业年金缴费支出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24.09</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24.09</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210</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卫生健康支出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27.64</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27.64</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210</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27.64</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27.64</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210</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行政单位医疗</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000000" w:themeColor="text1"/>
                <w:kern w:val="0"/>
                <w:sz w:val="18"/>
                <w:szCs w:val="18"/>
                <w:highlight w:val="none"/>
                <w:shd w:val="clear" w:color="auto" w:fill="auto"/>
                <w:lang w:val="en-US" w:eastAsia="zh-CN"/>
                <w14:textFill>
                  <w14:solidFill>
                    <w14:schemeClr w14:val="tx1"/>
                  </w14:solidFill>
                </w14:textFill>
              </w:rPr>
              <w:t>13.9</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000000" w:themeColor="text1"/>
                <w:kern w:val="0"/>
                <w:sz w:val="18"/>
                <w:szCs w:val="18"/>
                <w:highlight w:val="none"/>
                <w:shd w:val="clear" w:color="auto" w:fill="auto"/>
                <w:lang w:val="en-US" w:eastAsia="zh-CN"/>
                <w14:textFill>
                  <w14:solidFill>
                    <w14:schemeClr w14:val="tx1"/>
                  </w14:solidFill>
                </w14:textFill>
              </w:rPr>
              <w:t>13.9</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210</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02</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000000" w:themeColor="text1"/>
                <w:kern w:val="0"/>
                <w:sz w:val="18"/>
                <w:szCs w:val="18"/>
                <w:highlight w:val="none"/>
                <w:shd w:val="clear" w:color="auto" w:fill="auto"/>
                <w:lang w:val="en-US" w:eastAsia="zh-CN"/>
                <w14:textFill>
                  <w14:solidFill>
                    <w14:schemeClr w14:val="tx1"/>
                  </w14:solidFill>
                </w14:textFill>
              </w:rPr>
              <w:t>8.29</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000000" w:themeColor="text1"/>
                <w:kern w:val="0"/>
                <w:sz w:val="18"/>
                <w:szCs w:val="18"/>
                <w:highlight w:val="none"/>
                <w:shd w:val="clear" w:color="auto" w:fill="auto"/>
                <w:lang w:val="en-US" w:eastAsia="zh-CN"/>
                <w14:textFill>
                  <w14:solidFill>
                    <w14:schemeClr w14:val="tx1"/>
                  </w14:solidFill>
                </w14:textFill>
              </w:rPr>
              <w:t>8.29</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210</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03</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公务员医疗补助</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5.45</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5.45</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交通运输支出</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2118.79</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339.34</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1779.45</w:t>
            </w: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公路水路运输</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2118.79</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339.34</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1779.45</w:t>
            </w: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225.32</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225.32</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307"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04</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公路建设</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1159.2</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FF"/>
                <w:kern w:val="0"/>
                <w:sz w:val="20"/>
                <w:szCs w:val="20"/>
                <w:highlight w:val="none"/>
                <w:u w:val="none"/>
                <w:lang w:val="en-US" w:eastAsia="zh-CN" w:bidi="ar"/>
              </w:rPr>
            </w:pPr>
            <w:r>
              <w:rPr>
                <w:rFonts w:hint="default" w:ascii="Times New Roman" w:hAnsi="Times New Roman" w:eastAsia="仿宋_GB2312" w:cs="Times New Roman"/>
                <w:i w:val="0"/>
                <w:iCs w:val="0"/>
                <w:color w:val="000000" w:themeColor="text1"/>
                <w:kern w:val="0"/>
                <w:sz w:val="20"/>
                <w:szCs w:val="20"/>
                <w:highlight w:val="none"/>
                <w:u w:val="none"/>
                <w:lang w:val="en-US" w:eastAsia="zh-CN" w:bidi="ar"/>
                <w14:textFill>
                  <w14:solidFill>
                    <w14:schemeClr w14:val="tx1"/>
                  </w14:solidFill>
                </w14:textFill>
              </w:rPr>
              <w:t>1159.2</w:t>
            </w: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06</w:t>
            </w:r>
          </w:p>
        </w:tc>
        <w:tc>
          <w:tcPr>
            <w:tcW w:w="23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公路养护</w:t>
            </w:r>
          </w:p>
        </w:tc>
        <w:tc>
          <w:tcPr>
            <w:tcW w:w="16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620.25</w:t>
            </w:r>
          </w:p>
        </w:tc>
        <w:tc>
          <w:tcPr>
            <w:tcW w:w="1787"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620.25</w:t>
            </w: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214</w:t>
            </w:r>
          </w:p>
        </w:tc>
        <w:tc>
          <w:tcPr>
            <w:tcW w:w="4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01</w:t>
            </w: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09</w:t>
            </w:r>
          </w:p>
        </w:tc>
        <w:tc>
          <w:tcPr>
            <w:tcW w:w="23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其他公路水路运输支出</w:t>
            </w:r>
          </w:p>
        </w:tc>
        <w:tc>
          <w:tcPr>
            <w:tcW w:w="1635"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114.02</w:t>
            </w:r>
          </w:p>
        </w:tc>
        <w:tc>
          <w:tcPr>
            <w:tcW w:w="1787"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114.02</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themeColor="text1"/>
                <w:kern w:val="0"/>
                <w:sz w:val="20"/>
                <w:szCs w:val="20"/>
                <w:highlight w:val="yellow"/>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221</w:t>
            </w:r>
          </w:p>
        </w:tc>
        <w:tc>
          <w:tcPr>
            <w:tcW w:w="4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1635"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787"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221</w:t>
            </w:r>
          </w:p>
        </w:tc>
        <w:tc>
          <w:tcPr>
            <w:tcW w:w="4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02</w:t>
            </w: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1635"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787"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221</w:t>
            </w:r>
          </w:p>
        </w:tc>
        <w:tc>
          <w:tcPr>
            <w:tcW w:w="4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02</w:t>
            </w: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01</w:t>
            </w:r>
          </w:p>
        </w:tc>
        <w:tc>
          <w:tcPr>
            <w:tcW w:w="23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1635"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787"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36.13</w:t>
            </w:r>
          </w:p>
        </w:tc>
        <w:tc>
          <w:tcPr>
            <w:tcW w:w="16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354" w:hRule="atLeast"/>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rPr>
              <w:t>合  计</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2257.47</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478.02</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color w:val="auto"/>
                <w:kern w:val="0"/>
                <w:sz w:val="18"/>
                <w:szCs w:val="18"/>
                <w:highlight w:val="none"/>
                <w:shd w:val="clear" w:color="auto" w:fill="auto"/>
                <w:lang w:val="en-US" w:eastAsia="zh-CN"/>
              </w:rPr>
              <w:t>1779.45</w:t>
            </w:r>
          </w:p>
        </w:tc>
      </w:tr>
    </w:tbl>
    <w:p>
      <w:pPr>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工资福利</w:t>
            </w:r>
            <w:r>
              <w:rPr>
                <w:rFonts w:hint="default" w:ascii="Times New Roman" w:hAnsi="Times New Roman" w:eastAsia="仿宋_GB2312" w:cs="Times New Roman"/>
                <w:i w:val="0"/>
                <w:iCs w:val="0"/>
                <w:color w:val="000000"/>
                <w:kern w:val="0"/>
                <w:sz w:val="20"/>
                <w:szCs w:val="20"/>
                <w:highlight w:val="none"/>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459.32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459.32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150.59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150.59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170.94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170.94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48.18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48.18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24.09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24.09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21.81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21.81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highlight w:val="none"/>
                <w:u w:val="none"/>
                <w:lang w:val="en-US" w:eastAsia="zh-CN"/>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5.45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5.45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其他社会保险缴费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highlight w:val="none"/>
                <w:u w:val="none"/>
                <w:lang w:val="en-US" w:eastAsia="zh-CN" w:bidi="ar"/>
                <w14:textFill>
                  <w14:solidFill>
                    <w14:schemeClr w14:val="tx1"/>
                  </w14:solidFill>
                </w14:textFill>
              </w:rPr>
              <w:t>2.13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highlight w:val="none"/>
                <w:u w:val="none"/>
                <w:lang w:val="en-US" w:eastAsia="zh-CN" w:bidi="ar"/>
                <w14:textFill>
                  <w14:solidFill>
                    <w14:schemeClr w14:val="tx1"/>
                  </w14:solidFill>
                </w14:textFill>
              </w:rPr>
              <w:t>2.13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36.13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36.13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商品与服务</w:t>
            </w:r>
            <w:r>
              <w:rPr>
                <w:rFonts w:hint="default" w:ascii="Times New Roman" w:hAnsi="Times New Roman" w:eastAsia="仿宋_GB2312" w:cs="Times New Roman"/>
                <w:i w:val="0"/>
                <w:iCs w:val="0"/>
                <w:color w:val="000000"/>
                <w:kern w:val="0"/>
                <w:sz w:val="20"/>
                <w:szCs w:val="20"/>
                <w:highlight w:val="none"/>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16.06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16.06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6.33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1.26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color="auto"/>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1.16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1.37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1.47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3.17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2.64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sz w:val="20"/>
                <w:szCs w:val="20"/>
                <w:highlight w:val="none"/>
                <w:u w:val="none"/>
                <w:lang w:val="en-US" w:eastAsia="zh-CN"/>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2.64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478.02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461.96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16.06</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pPr w:leftFromText="180" w:rightFromText="180" w:vertAnchor="text" w:horzAnchor="page" w:tblpX="1652" w:tblpY="296"/>
        <w:tblOverlap w:val="never"/>
        <w:tblW w:w="9760" w:type="dxa"/>
        <w:tblInd w:w="-6" w:type="dxa"/>
        <w:tblLayout w:type="fixed"/>
        <w:tblCellMar>
          <w:top w:w="0" w:type="dxa"/>
          <w:left w:w="108" w:type="dxa"/>
          <w:bottom w:w="0" w:type="dxa"/>
          <w:right w:w="108" w:type="dxa"/>
        </w:tblCellMar>
      </w:tblPr>
      <w:tblGrid>
        <w:gridCol w:w="283"/>
        <w:gridCol w:w="233"/>
        <w:gridCol w:w="484"/>
        <w:gridCol w:w="480"/>
        <w:gridCol w:w="894"/>
        <w:gridCol w:w="1586"/>
        <w:gridCol w:w="934"/>
        <w:gridCol w:w="373"/>
        <w:gridCol w:w="400"/>
        <w:gridCol w:w="400"/>
        <w:gridCol w:w="520"/>
        <w:gridCol w:w="907"/>
        <w:gridCol w:w="453"/>
        <w:gridCol w:w="453"/>
        <w:gridCol w:w="400"/>
        <w:gridCol w:w="480"/>
        <w:gridCol w:w="480"/>
      </w:tblGrid>
      <w:tr>
        <w:tblPrEx>
          <w:tblCellMar>
            <w:top w:w="0" w:type="dxa"/>
            <w:left w:w="108" w:type="dxa"/>
            <w:bottom w:w="0" w:type="dxa"/>
            <w:right w:w="108" w:type="dxa"/>
          </w:tblCellMar>
        </w:tblPrEx>
        <w:trPr>
          <w:gridBefore w:val="1"/>
          <w:gridAfter w:val="1"/>
          <w:wBefore w:w="283" w:type="dxa"/>
          <w:wAfter w:w="480" w:type="dxa"/>
          <w:trHeight w:val="375" w:hRule="atLeast"/>
        </w:trPr>
        <w:tc>
          <w:tcPr>
            <w:tcW w:w="8997"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283" w:type="dxa"/>
          <w:wAfter w:w="480" w:type="dxa"/>
          <w:trHeight w:val="405" w:hRule="atLeast"/>
        </w:trPr>
        <w:tc>
          <w:tcPr>
            <w:tcW w:w="8997" w:type="dxa"/>
            <w:gridSpan w:val="15"/>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 xml:space="preserve">焉耆回族自治县交通运输局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0"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9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58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3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37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9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516"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8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8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94"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58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3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6" w:type="dxa"/>
            <w:gridSpan w:val="2"/>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48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89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交通运输支出</w:t>
            </w:r>
          </w:p>
        </w:tc>
        <w:tc>
          <w:tcPr>
            <w:tcW w:w="1586"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3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c>
          <w:tcPr>
            <w:tcW w:w="373"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52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07"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c>
          <w:tcPr>
            <w:tcW w:w="453"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6" w:type="dxa"/>
            <w:gridSpan w:val="2"/>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8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rPr>
            </w:pPr>
          </w:p>
        </w:tc>
        <w:tc>
          <w:tcPr>
            <w:tcW w:w="89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公路水路运输</w:t>
            </w:r>
          </w:p>
        </w:tc>
        <w:tc>
          <w:tcPr>
            <w:tcW w:w="1586"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34"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c>
          <w:tcPr>
            <w:tcW w:w="373"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520"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07"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1779.45</w:t>
            </w:r>
          </w:p>
        </w:tc>
        <w:tc>
          <w:tcPr>
            <w:tcW w:w="453" w:type="dxa"/>
            <w:tcBorders>
              <w:bottom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tcBorders>
              <w:bottom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51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Hans"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06</w:t>
            </w:r>
          </w:p>
        </w:tc>
        <w:tc>
          <w:tcPr>
            <w:tcW w:w="89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公路养护</w:t>
            </w:r>
          </w:p>
        </w:tc>
        <w:tc>
          <w:tcPr>
            <w:tcW w:w="1586" w:type="dxa"/>
            <w:noWrap w:val="0"/>
            <w:vAlign w:val="top"/>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2025年农村公路养护工程项目（永宁镇-马莲潭村3组、北大渠乡-十号渠村4组、霍拉山村-乃明莫顿村）</w:t>
            </w:r>
          </w:p>
        </w:tc>
        <w:tc>
          <w:tcPr>
            <w:tcW w:w="93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517.25</w:t>
            </w:r>
          </w:p>
        </w:tc>
        <w:tc>
          <w:tcPr>
            <w:tcW w:w="373"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07"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517.25</w:t>
            </w:r>
          </w:p>
        </w:tc>
        <w:tc>
          <w:tcPr>
            <w:tcW w:w="45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06</w:t>
            </w:r>
          </w:p>
        </w:tc>
        <w:tc>
          <w:tcPr>
            <w:tcW w:w="89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公路养护</w:t>
            </w:r>
          </w:p>
        </w:tc>
        <w:tc>
          <w:tcPr>
            <w:tcW w:w="1586" w:type="dxa"/>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2025年中央对地方成品油税费改革转移支付资金用于农村公路养护</w:t>
            </w:r>
            <w:r>
              <w:rPr>
                <w:rFonts w:hint="eastAsia" w:eastAsia="仿宋_GB2312" w:cs="Times New Roman"/>
                <w:color w:val="auto"/>
                <w:kern w:val="0"/>
                <w:sz w:val="20"/>
                <w:szCs w:val="20"/>
                <w:highlight w:val="none"/>
                <w:shd w:val="clear" w:color="auto" w:fill="auto"/>
                <w:lang w:val="en-US" w:eastAsia="zh-CN"/>
              </w:rPr>
              <w:t>项目</w:t>
            </w:r>
          </w:p>
        </w:tc>
        <w:tc>
          <w:tcPr>
            <w:tcW w:w="93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103</w:t>
            </w:r>
          </w:p>
        </w:tc>
        <w:tc>
          <w:tcPr>
            <w:tcW w:w="373"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07"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103</w:t>
            </w:r>
          </w:p>
        </w:tc>
        <w:tc>
          <w:tcPr>
            <w:tcW w:w="45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214</w:t>
            </w:r>
          </w:p>
        </w:tc>
        <w:tc>
          <w:tcPr>
            <w:tcW w:w="48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01</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04</w:t>
            </w:r>
          </w:p>
        </w:tc>
        <w:tc>
          <w:tcPr>
            <w:tcW w:w="89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公路建设</w:t>
            </w:r>
          </w:p>
        </w:tc>
        <w:tc>
          <w:tcPr>
            <w:tcW w:w="1586" w:type="dxa"/>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改造农村公路永宁镇至博湖县、永宁镇至新户村等项目建设</w:t>
            </w:r>
          </w:p>
        </w:tc>
        <w:tc>
          <w:tcPr>
            <w:tcW w:w="93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1159.2</w:t>
            </w:r>
          </w:p>
        </w:tc>
        <w:tc>
          <w:tcPr>
            <w:tcW w:w="373"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c>
          <w:tcPr>
            <w:tcW w:w="907"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1159.2</w:t>
            </w:r>
          </w:p>
        </w:tc>
        <w:tc>
          <w:tcPr>
            <w:tcW w:w="45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4"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894"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1586"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合 计</w:t>
            </w:r>
          </w:p>
        </w:tc>
        <w:tc>
          <w:tcPr>
            <w:tcW w:w="934" w:type="dxa"/>
            <w:noWrap w:val="0"/>
            <w:vAlign w:val="top"/>
          </w:tcPr>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lang w:val="en-US" w:eastAsia="zh-CN"/>
              </w:rPr>
            </w:pPr>
          </w:p>
          <w:p>
            <w:pPr>
              <w:widowControl/>
              <w:spacing w:line="280" w:lineRule="exact"/>
              <w:jc w:val="both"/>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1779.45</w:t>
            </w:r>
          </w:p>
        </w:tc>
        <w:tc>
          <w:tcPr>
            <w:tcW w:w="37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907"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1779.45</w:t>
            </w:r>
          </w:p>
        </w:tc>
        <w:tc>
          <w:tcPr>
            <w:tcW w:w="45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53"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40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48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r>
    </w:tbl>
    <w:p>
      <w:pPr>
        <w:keepNext w:val="0"/>
        <w:keepLines w:val="0"/>
        <w:widowControl/>
        <w:suppressLineNumbers w:val="0"/>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w:t>
      </w:r>
      <w:r>
        <w:rPr>
          <w:rFonts w:hint="default" w:ascii="Times New Roman" w:hAnsi="Times New Roman" w:eastAsia="仿宋_GB2312" w:cs="Times New Roman"/>
          <w:b/>
          <w:color w:val="auto"/>
          <w:kern w:val="0"/>
          <w:sz w:val="28"/>
          <w:szCs w:val="32"/>
          <w:highlight w:val="none"/>
        </w:rPr>
        <w:t>无</w:t>
      </w:r>
      <w:r>
        <w:rPr>
          <w:rFonts w:hint="default" w:ascii="Times New Roman" w:hAnsi="Times New Roman" w:eastAsia="仿宋_GB2312" w:cs="Times New Roman"/>
          <w:b/>
          <w:color w:val="auto"/>
          <w:kern w:val="0"/>
          <w:sz w:val="28"/>
          <w:szCs w:val="32"/>
          <w:highlight w:val="none"/>
          <w:lang w:eastAsia="zh-CN"/>
        </w:rPr>
        <w:t>国有资本经营预算安排，此表为表</w:t>
      </w:r>
      <w:r>
        <w:rPr>
          <w:rFonts w:hint="default" w:ascii="Times New Roman" w:hAnsi="Times New Roman" w:eastAsia="仿宋_GB2312" w:cs="Times New Roman"/>
          <w:b/>
          <w:color w:val="auto"/>
          <w:kern w:val="0"/>
          <w:sz w:val="28"/>
          <w:szCs w:val="32"/>
          <w:highlight w:val="none"/>
        </w:rPr>
        <w:t>。</w:t>
      </w:r>
    </w:p>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仿宋_GB2312" w:cs="Times New Roman"/>
          <w:b/>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焉耆回族自治县交通运输局</w:t>
      </w:r>
      <w:r>
        <w:rPr>
          <w:rFonts w:hint="default" w:ascii="Times New Roman" w:hAnsi="Times New Roman" w:eastAsia="仿宋_GB2312" w:cs="Times New Roman"/>
          <w:color w:val="auto"/>
          <w:kern w:val="0"/>
          <w:sz w:val="24"/>
          <w:highlight w:val="none"/>
        </w:rPr>
        <w:t xml:space="preserve">                            单位：万元</w:t>
      </w:r>
    </w:p>
    <w:tbl>
      <w:tblPr>
        <w:tblStyle w:val="11"/>
        <w:tblW w:w="956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215"/>
        <w:gridCol w:w="1314"/>
        <w:gridCol w:w="159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18" w:type="dxa"/>
            <w:vMerge w:val="continue"/>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ind w:firstLine="281" w:firstLineChars="10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公务用车运行费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rPr>
        <w:t>情况明细表</w:t>
      </w:r>
    </w:p>
    <w:p>
      <w:pPr>
        <w:widowControl/>
        <w:jc w:val="both"/>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焉耆</w:t>
      </w:r>
      <w:r>
        <w:rPr>
          <w:rFonts w:hint="eastAsia" w:eastAsia="仿宋_GB2312" w:cs="Times New Roman"/>
          <w:color w:val="auto"/>
          <w:kern w:val="0"/>
          <w:sz w:val="24"/>
          <w:highlight w:val="none"/>
          <w:lang w:val="en-US" w:eastAsia="zh-CN"/>
        </w:rPr>
        <w:t>回族自治</w:t>
      </w:r>
      <w:r>
        <w:rPr>
          <w:rFonts w:hint="default" w:ascii="Times New Roman" w:hAnsi="Times New Roman" w:eastAsia="仿宋_GB2312" w:cs="Times New Roman"/>
          <w:color w:val="auto"/>
          <w:kern w:val="0"/>
          <w:sz w:val="24"/>
          <w:highlight w:val="none"/>
          <w:lang w:val="en-US" w:eastAsia="zh-CN"/>
        </w:rPr>
        <w:t>县交通运输局</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721"/>
        <w:gridCol w:w="720"/>
        <w:gridCol w:w="667"/>
        <w:gridCol w:w="840"/>
        <w:gridCol w:w="9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4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72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eastAsia" w:eastAsia="仿宋_GB2312" w:cs="Times New Roman"/>
                <w:b/>
                <w:bCs/>
                <w:color w:val="auto"/>
                <w:kern w:val="0"/>
                <w:sz w:val="20"/>
                <w:szCs w:val="20"/>
                <w:highlight w:val="none"/>
                <w:lang w:val="en-US" w:eastAsia="zh-CN"/>
              </w:rPr>
              <w:t>合</w:t>
            </w:r>
            <w:r>
              <w:rPr>
                <w:rFonts w:hint="default" w:ascii="Times New Roman" w:hAnsi="Times New Roman" w:eastAsia="仿宋_GB2312" w:cs="Times New Roman"/>
                <w:b/>
                <w:bCs/>
                <w:color w:val="auto"/>
                <w:kern w:val="0"/>
                <w:sz w:val="20"/>
                <w:szCs w:val="20"/>
                <w:highlight w:val="none"/>
                <w:lang w:val="en-US" w:eastAsia="zh-CN"/>
              </w:rPr>
              <w:t>计</w:t>
            </w:r>
          </w:p>
        </w:tc>
        <w:tc>
          <w:tcPr>
            <w:tcW w:w="3138"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4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21"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eastAsia" w:eastAsia="仿宋_GB2312" w:cs="Times New Roman"/>
                <w:b/>
                <w:bCs/>
                <w:color w:val="auto"/>
                <w:kern w:val="0"/>
                <w:sz w:val="20"/>
                <w:szCs w:val="20"/>
                <w:highlight w:val="none"/>
                <w:lang w:eastAsia="zh-CN"/>
              </w:rPr>
              <w:t>小</w:t>
            </w:r>
            <w:r>
              <w:rPr>
                <w:rFonts w:hint="default" w:ascii="Times New Roman" w:hAnsi="Times New Roman" w:eastAsia="仿宋_GB2312" w:cs="Times New Roman"/>
                <w:b/>
                <w:bCs/>
                <w:color w:val="auto"/>
                <w:kern w:val="0"/>
                <w:sz w:val="20"/>
                <w:szCs w:val="20"/>
                <w:highlight w:val="none"/>
              </w:rPr>
              <w:t>计</w:t>
            </w:r>
          </w:p>
        </w:tc>
        <w:tc>
          <w:tcPr>
            <w:tcW w:w="1507"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9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eastAsia" w:eastAsia="仿宋_GB2312" w:cs="Times New Roman"/>
                <w:b/>
                <w:bCs/>
                <w:color w:val="auto"/>
                <w:kern w:val="0"/>
                <w:sz w:val="20"/>
                <w:szCs w:val="20"/>
                <w:highlight w:val="none"/>
                <w:lang w:val="en-US" w:eastAsia="zh-CN"/>
              </w:rPr>
              <w:t>小</w:t>
            </w:r>
            <w:r>
              <w:rPr>
                <w:rFonts w:hint="default" w:ascii="Times New Roman" w:hAnsi="Times New Roman" w:eastAsia="仿宋_GB2312" w:cs="Times New Roman"/>
                <w:b/>
                <w:bCs/>
                <w:color w:val="auto"/>
                <w:kern w:val="0"/>
                <w:sz w:val="20"/>
                <w:szCs w:val="20"/>
                <w:highlight w:val="none"/>
                <w:lang w:val="en-US" w:eastAsia="zh-CN"/>
              </w:rPr>
              <w:t>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6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4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9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47" w:type="dxa"/>
            <w:noWrap w:val="0"/>
            <w:vAlign w:val="top"/>
          </w:tcPr>
          <w:p>
            <w:pPr>
              <w:spacing w:line="600" w:lineRule="exact"/>
              <w:jc w:val="left"/>
              <w:rPr>
                <w:rFonts w:hint="default" w:ascii="仿宋_GB2312" w:hAnsi="仿宋_GB2312" w:eastAsia="仿宋_GB2312" w:cs="仿宋_GB2312"/>
                <w:b w:val="0"/>
                <w:bCs/>
                <w:color w:val="auto"/>
                <w:kern w:val="0"/>
                <w:sz w:val="20"/>
                <w:szCs w:val="20"/>
                <w:highlight w:val="none"/>
                <w:lang w:val="en-US" w:eastAsia="zh-CN"/>
              </w:rPr>
            </w:pPr>
            <w:r>
              <w:rPr>
                <w:rFonts w:hint="default" w:ascii="仿宋_GB2312" w:hAnsi="仿宋_GB2312" w:eastAsia="仿宋_GB2312" w:cs="仿宋_GB2312"/>
                <w:b w:val="0"/>
                <w:bCs/>
                <w:color w:val="auto"/>
                <w:kern w:val="0"/>
                <w:sz w:val="20"/>
                <w:szCs w:val="20"/>
                <w:highlight w:val="none"/>
                <w:lang w:val="en-US" w:eastAsia="zh-CN"/>
              </w:rPr>
              <w:t>2</w:t>
            </w:r>
            <w:r>
              <w:rPr>
                <w:rFonts w:hint="default" w:ascii="仿宋_GB2312" w:hAnsi="仿宋_GB2312" w:eastAsia="仿宋_GB2312" w:cs="仿宋_GB2312"/>
                <w:b w:val="0"/>
                <w:bCs/>
                <w:color w:val="auto"/>
                <w:kern w:val="0"/>
                <w:sz w:val="21"/>
                <w:szCs w:val="21"/>
                <w:highlight w:val="none"/>
                <w:lang w:val="en-US" w:eastAsia="zh-CN"/>
              </w:rPr>
              <w:t>024年超长期特别国债支持交通运输领域消费品以旧换新</w:t>
            </w:r>
          </w:p>
        </w:tc>
        <w:tc>
          <w:tcPr>
            <w:tcW w:w="721"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720"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667" w:type="dxa"/>
            <w:noWrap w:val="0"/>
            <w:vAlign w:val="center"/>
          </w:tcPr>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rPr>
            </w:pPr>
          </w:p>
        </w:tc>
        <w:tc>
          <w:tcPr>
            <w:tcW w:w="840" w:type="dxa"/>
            <w:noWrap w:val="0"/>
            <w:vAlign w:val="center"/>
          </w:tcPr>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rPr>
            </w:pPr>
          </w:p>
        </w:tc>
        <w:tc>
          <w:tcPr>
            <w:tcW w:w="911"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0.1</w:t>
            </w:r>
          </w:p>
        </w:tc>
        <w:tc>
          <w:tcPr>
            <w:tcW w:w="797" w:type="dxa"/>
            <w:noWrap w:val="0"/>
            <w:vAlign w:val="center"/>
          </w:tcPr>
          <w:p>
            <w:pPr>
              <w:spacing w:line="600" w:lineRule="exact"/>
              <w:jc w:val="center"/>
              <w:rPr>
                <w:rFonts w:hint="eastAsia" w:ascii="仿宋_GB2312" w:hAnsi="仿宋_GB2312" w:eastAsia="仿宋_GB2312" w:cs="仿宋_GB2312"/>
                <w:bCs/>
                <w:color w:val="auto"/>
                <w:kern w:val="0"/>
                <w:sz w:val="18"/>
                <w:szCs w:val="18"/>
                <w:highlight w:val="none"/>
              </w:rPr>
            </w:pPr>
          </w:p>
        </w:tc>
        <w:tc>
          <w:tcPr>
            <w:tcW w:w="723" w:type="dxa"/>
            <w:noWrap w:val="0"/>
            <w:vAlign w:val="center"/>
          </w:tcPr>
          <w:p>
            <w:pPr>
              <w:spacing w:line="600" w:lineRule="exact"/>
              <w:jc w:val="center"/>
              <w:rPr>
                <w:rFonts w:hint="eastAsia" w:ascii="仿宋_GB2312" w:hAnsi="仿宋_GB2312" w:eastAsia="仿宋_GB2312" w:cs="仿宋_GB2312"/>
                <w:bCs/>
                <w:color w:val="auto"/>
                <w:kern w:val="0"/>
                <w:sz w:val="18"/>
                <w:szCs w:val="18"/>
                <w:highlight w:val="none"/>
              </w:rPr>
            </w:pPr>
          </w:p>
        </w:tc>
        <w:tc>
          <w:tcPr>
            <w:tcW w:w="881" w:type="dxa"/>
            <w:noWrap w:val="0"/>
            <w:vAlign w:val="center"/>
          </w:tcPr>
          <w:p>
            <w:pPr>
              <w:spacing w:line="600" w:lineRule="exact"/>
              <w:jc w:val="center"/>
              <w:rPr>
                <w:rFonts w:hint="eastAsia" w:ascii="仿宋_GB2312" w:hAnsi="仿宋_GB2312" w:eastAsia="仿宋_GB2312" w:cs="仿宋_GB2312"/>
                <w:bCs/>
                <w:color w:val="auto"/>
                <w:kern w:val="0"/>
                <w:sz w:val="18"/>
                <w:szCs w:val="18"/>
                <w:highlight w:val="none"/>
              </w:rPr>
            </w:pPr>
          </w:p>
        </w:tc>
        <w:tc>
          <w:tcPr>
            <w:tcW w:w="1211" w:type="dxa"/>
            <w:noWrap w:val="0"/>
            <w:vAlign w:val="center"/>
          </w:tcPr>
          <w:p>
            <w:pPr>
              <w:spacing w:line="600" w:lineRule="exact"/>
              <w:jc w:val="center"/>
              <w:rPr>
                <w:rFonts w:hint="eastAsia" w:ascii="仿宋_GB2312" w:hAnsi="仿宋_GB2312" w:eastAsia="仿宋_GB2312" w:cs="仿宋_GB2312"/>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4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6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4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4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6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4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7" w:type="dxa"/>
            <w:noWrap w:val="0"/>
            <w:vAlign w:val="center"/>
          </w:tcPr>
          <w:p>
            <w:pPr>
              <w:spacing w:line="600" w:lineRule="exact"/>
              <w:jc w:val="center"/>
              <w:rPr>
                <w:rFonts w:hint="eastAsia" w:ascii="Times New Roman" w:hAnsi="Times New Roman" w:eastAsia="仿宋" w:cs="Times New Roman"/>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721"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720" w:type="dxa"/>
            <w:noWrap w:val="0"/>
            <w:vAlign w:val="center"/>
          </w:tcPr>
          <w:p>
            <w:pPr>
              <w:pStyle w:val="2"/>
              <w:jc w:val="center"/>
              <w:rPr>
                <w:rFonts w:hint="default" w:ascii="Times New Roman" w:hAnsi="Times New Roman" w:eastAsia="仿宋_GB2312" w:cs="Times New Roman"/>
                <w:b w:val="0"/>
                <w:bCs/>
                <w:color w:val="auto"/>
                <w:kern w:val="0"/>
                <w:sz w:val="20"/>
                <w:szCs w:val="20"/>
                <w:highlight w:val="none"/>
                <w:lang w:val="en-US" w:eastAsia="zh-CN" w:bidi="ar-SA"/>
              </w:rPr>
            </w:pPr>
          </w:p>
          <w:p>
            <w:pPr>
              <w:pStyle w:val="2"/>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bidi="ar-SA"/>
              </w:rPr>
              <w:t>0.1</w:t>
            </w:r>
          </w:p>
        </w:tc>
        <w:tc>
          <w:tcPr>
            <w:tcW w:w="667"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840"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911" w:type="dxa"/>
            <w:noWrap w:val="0"/>
            <w:vAlign w:val="center"/>
          </w:tcPr>
          <w:p>
            <w:pPr>
              <w:spacing w:line="60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bidi="ar-SA"/>
              </w:rPr>
              <w:t>0.1</w:t>
            </w: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jc w:val="left"/>
        <w:outlineLvl w:val="1"/>
        <w:rPr>
          <w:rFonts w:ascii="仿宋_GB2312" w:hAnsi="宋体" w:eastAsia="仿宋_GB2312"/>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sectPr>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一、关于焉耆回族自治县交通运输局2025年收支预算情况的总体说明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按照全口径预算的原则，焉耆回族自治县交通运输局2025年所有收入和支出均纳入单位预算管理。收支总预算2257.57万元。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支出预算包括:社会保障和就业支出、卫生健康支出、交通运输支出、资源勘探工业信息等支出、住房保障支出。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二、关于焉耆回族自治县交通运输局2025年收入预算情况说明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焉耆回族自治县交通运输局收入预</w:t>
      </w:r>
      <w:r>
        <w:rPr>
          <w:rFonts w:hint="default" w:ascii="Times New Roman" w:hAnsi="Times New Roman" w:eastAsia="仿宋_GB2312" w:cs="Times New Roman"/>
          <w:color w:val="auto"/>
          <w:kern w:val="0"/>
          <w:sz w:val="32"/>
          <w:szCs w:val="32"/>
          <w:highlight w:val="none"/>
          <w:lang w:val="en-US" w:eastAsia="zh-CN"/>
        </w:rPr>
        <w:t>算2257.57</w:t>
      </w:r>
      <w:r>
        <w:rPr>
          <w:rFonts w:hint="eastAsia" w:ascii="仿宋_GB2312" w:hAnsi="宋体" w:eastAsia="仿宋_GB2312" w:cs="宋体"/>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一般公共预算478.02万元，占21.17%，比上年预算增加25.23万元，增长5.57%，主要原因：调入2名公务员，人员工资、社保基数调整。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上级一般公共预算安排的转移支付1779.45万元，占78.82%，比上年预算增加605.18万元，增长51.54%，主要原因：2025年增加2个农村基础建设项目。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上级国有资本经营预算安排的</w:t>
      </w:r>
      <w:r>
        <w:rPr>
          <w:rFonts w:hint="eastAsia" w:ascii="仿宋" w:hAnsi="仿宋" w:eastAsia="仿宋" w:cs="仿宋"/>
          <w:b w:val="0"/>
          <w:bCs/>
          <w:color w:val="auto"/>
          <w:kern w:val="0"/>
          <w:sz w:val="32"/>
          <w:szCs w:val="32"/>
          <w:highlight w:val="none"/>
          <w:lang w:val="en-US" w:eastAsia="zh-CN"/>
        </w:rPr>
        <w:t>转移支付资金未安排</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财政拨款结转0.1万元，占</w:t>
      </w:r>
      <w:r>
        <w:rPr>
          <w:rFonts w:hint="eastAsia" w:eastAsia="仿宋_GB2312" w:cs="Times New Roman"/>
          <w:color w:val="auto"/>
          <w:kern w:val="0"/>
          <w:sz w:val="32"/>
          <w:szCs w:val="32"/>
          <w:highlight w:val="none"/>
          <w:lang w:val="en-US" w:eastAsia="zh-CN"/>
        </w:rPr>
        <w:t>0.01</w:t>
      </w:r>
      <w:r>
        <w:rPr>
          <w:rFonts w:hint="default" w:ascii="Times New Roman" w:hAnsi="Times New Roman" w:eastAsia="仿宋_GB2312" w:cs="Times New Roman"/>
          <w:color w:val="auto"/>
          <w:kern w:val="0"/>
          <w:sz w:val="32"/>
          <w:szCs w:val="32"/>
          <w:highlight w:val="none"/>
          <w:lang w:val="en-US" w:eastAsia="zh-CN"/>
        </w:rPr>
        <w:t>%，比上年预算增加0.1万元，增长100%，主要原因</w:t>
      </w:r>
      <w:r>
        <w:rPr>
          <w:rFonts w:hint="eastAsia" w:eastAsia="仿宋_GB2312" w:cs="Times New Roman"/>
          <w:color w:val="auto"/>
          <w:kern w:val="0"/>
          <w:sz w:val="32"/>
          <w:szCs w:val="32"/>
          <w:highlight w:val="none"/>
          <w:lang w:val="en-US" w:eastAsia="zh-CN"/>
        </w:rPr>
        <w:t>是2024年</w:t>
      </w:r>
      <w:r>
        <w:rPr>
          <w:rFonts w:hint="default" w:ascii="Times New Roman" w:hAnsi="Times New Roman" w:eastAsia="仿宋_GB2312" w:cs="Times New Roman"/>
          <w:color w:val="auto"/>
          <w:kern w:val="0"/>
          <w:sz w:val="32"/>
          <w:szCs w:val="32"/>
          <w:highlight w:val="none"/>
          <w:lang w:val="en-US" w:eastAsia="zh-CN"/>
        </w:rPr>
        <w:t>货车</w:t>
      </w:r>
      <w:r>
        <w:rPr>
          <w:rFonts w:hint="eastAsia" w:eastAsia="仿宋_GB2312" w:cs="Times New Roman"/>
          <w:color w:val="auto"/>
          <w:kern w:val="0"/>
          <w:sz w:val="32"/>
          <w:szCs w:val="32"/>
          <w:highlight w:val="none"/>
          <w:lang w:val="en-US" w:eastAsia="zh-CN"/>
        </w:rPr>
        <w:t>以旧换新</w:t>
      </w:r>
      <w:r>
        <w:rPr>
          <w:rFonts w:hint="default" w:ascii="Times New Roman" w:hAnsi="Times New Roman" w:eastAsia="仿宋_GB2312" w:cs="Times New Roman"/>
          <w:color w:val="auto"/>
          <w:kern w:val="0"/>
          <w:sz w:val="32"/>
          <w:szCs w:val="32"/>
          <w:highlight w:val="none"/>
          <w:lang w:val="en-US" w:eastAsia="zh-CN"/>
        </w:rPr>
        <w:t>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三、</w:t>
      </w:r>
      <w:r>
        <w:rPr>
          <w:rFonts w:hint="default" w:ascii="Times New Roman" w:hAnsi="Times New Roman" w:eastAsia="楷体_GB2312" w:cs="Times New Roman"/>
          <w:b/>
          <w:bCs w:val="0"/>
          <w:kern w:val="0"/>
          <w:sz w:val="32"/>
          <w:szCs w:val="32"/>
          <w:highlight w:val="none"/>
          <w:lang w:val="en-US" w:eastAsia="zh-CN"/>
        </w:rPr>
        <w:t>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val="0"/>
          <w:kern w:val="0"/>
          <w:sz w:val="32"/>
          <w:szCs w:val="32"/>
          <w:highlight w:val="none"/>
          <w:lang w:val="en-US" w:eastAsia="zh-CN"/>
        </w:rPr>
        <w:t>县交通运输局单位2025年支出预算情况说明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焉耆回族自治县交通运输局2025年</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支出预算2257.57万元</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基本支出478.02万元，占21.17%，比上年</w:t>
      </w:r>
      <w:r>
        <w:rPr>
          <w:rFonts w:hint="eastAsia" w:eastAsia="仿宋_GB2312" w:cs="Times New Roman"/>
          <w:color w:val="auto"/>
          <w:kern w:val="0"/>
          <w:sz w:val="32"/>
          <w:szCs w:val="32"/>
          <w:highlight w:val="none"/>
          <w:lang w:val="en-US" w:eastAsia="zh-CN"/>
        </w:rPr>
        <w:t>预算</w:t>
      </w:r>
      <w:r>
        <w:rPr>
          <w:rFonts w:hint="default" w:ascii="Times New Roman" w:hAnsi="Times New Roman" w:eastAsia="仿宋_GB2312" w:cs="Times New Roman"/>
          <w:color w:val="auto"/>
          <w:kern w:val="0"/>
          <w:sz w:val="32"/>
          <w:szCs w:val="32"/>
          <w:highlight w:val="none"/>
          <w:lang w:val="en-US" w:eastAsia="zh-CN"/>
        </w:rPr>
        <w:t>增加25.23万元，增长5.57%，主要原因：202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年新调入2名公务员，人员工资、社保缴费增加。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1779.</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78.8</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605.</w:t>
      </w:r>
      <w:r>
        <w:rPr>
          <w:rFonts w:hint="eastAsia" w:eastAsia="仿宋_GB2312" w:cs="Times New Roman"/>
          <w:color w:val="auto"/>
          <w:kern w:val="0"/>
          <w:sz w:val="32"/>
          <w:szCs w:val="32"/>
          <w:highlight w:val="none"/>
          <w:lang w:val="en-US" w:eastAsia="zh-CN"/>
        </w:rPr>
        <w:t>28</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51.5</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2025年增加2个农村基础建设项目。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kern w:val="0"/>
          <w:sz w:val="32"/>
          <w:szCs w:val="32"/>
          <w:highlight w:val="none"/>
          <w:lang w:val="en-US" w:eastAsia="zh-CN"/>
        </w:rPr>
      </w:pPr>
      <w:r>
        <w:rPr>
          <w:rFonts w:hint="default" w:ascii="Times New Roman" w:hAnsi="Times New Roman" w:eastAsia="楷体_GB2312" w:cs="Times New Roman"/>
          <w:b/>
          <w:bCs w:val="0"/>
          <w:kern w:val="0"/>
          <w:sz w:val="32"/>
          <w:szCs w:val="32"/>
          <w:highlight w:val="none"/>
          <w:lang w:val="en-US" w:eastAsia="zh-CN"/>
        </w:rPr>
        <w:t>四、关于焉耆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val="0"/>
          <w:kern w:val="0"/>
          <w:sz w:val="32"/>
          <w:szCs w:val="32"/>
          <w:highlight w:val="none"/>
          <w:lang w:val="en-US" w:eastAsia="zh-CN"/>
        </w:rPr>
        <w:t>县交通运输局2025年财政拨款收支预算情况的总体说明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算2257.</w:t>
      </w:r>
      <w:r>
        <w:rPr>
          <w:rFonts w:hint="eastAsia" w:eastAsia="仿宋_GB2312"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7万元</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预算拨款2257.</w:t>
      </w:r>
      <w:r>
        <w:rPr>
          <w:rFonts w:hint="eastAsia" w:eastAsia="仿宋_GB2312"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一般公共预算支出包括：社会保障和就业支出74.9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万元，主要用于机关事业单位基本养老保险缴费支出、机关事业单位职业年金缴费、单位离退休支出费等支出。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卫生健康支出27.64万元，主要用于行政单位医疗支出、公务员医疗补助等支出。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交通运输支出2118.79万元，主要用于职工工资津贴、公用经费等支出、项目支出。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住房保障支出36.13万元，主要用于人员住房公积金支出。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kern w:val="0"/>
          <w:sz w:val="32"/>
          <w:szCs w:val="32"/>
          <w:highlight w:val="none"/>
          <w:lang w:val="en-US" w:eastAsia="zh-CN"/>
        </w:rPr>
      </w:pPr>
      <w:r>
        <w:rPr>
          <w:rFonts w:hint="default" w:ascii="Times New Roman" w:hAnsi="Times New Roman" w:eastAsia="楷体_GB2312" w:cs="Times New Roman"/>
          <w:b/>
          <w:bCs w:val="0"/>
          <w:kern w:val="0"/>
          <w:sz w:val="32"/>
          <w:szCs w:val="32"/>
          <w:highlight w:val="none"/>
          <w:lang w:val="en-US" w:eastAsia="zh-CN"/>
        </w:rPr>
        <w:t>五、关于焉耆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val="0"/>
          <w:kern w:val="0"/>
          <w:sz w:val="32"/>
          <w:szCs w:val="32"/>
          <w:highlight w:val="none"/>
          <w:lang w:val="en-US" w:eastAsia="zh-CN"/>
        </w:rPr>
        <w:t>县交通运输局2025年一般公共预算当年拨款情况说明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kern w:val="0"/>
          <w:sz w:val="32"/>
          <w:szCs w:val="32"/>
          <w:highlight w:val="none"/>
          <w:lang w:val="en-US" w:eastAsia="zh-CN"/>
        </w:rPr>
      </w:pPr>
      <w:r>
        <w:rPr>
          <w:rFonts w:hint="default" w:ascii="Times New Roman" w:hAnsi="Times New Roman" w:eastAsia="仿宋_GB2312" w:cs="Times New Roman"/>
          <w:b/>
          <w:kern w:val="0"/>
          <w:sz w:val="32"/>
          <w:szCs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焉耆回族自治县交通运输局2025年一般公共预算拨款合计2257.47万元,其</w:t>
      </w:r>
      <w:r>
        <w:rPr>
          <w:rFonts w:hint="eastAsia" w:ascii="仿宋_GB2312" w:hAnsi="仿宋_GB2312" w:eastAsia="仿宋_GB2312" w:cs="仿宋_GB2312"/>
          <w:color w:val="auto"/>
          <w:kern w:val="0"/>
          <w:sz w:val="32"/>
          <w:szCs w:val="32"/>
          <w:highlight w:val="none"/>
          <w:lang w:val="en-US" w:eastAsia="zh-CN"/>
        </w:rPr>
        <w:t>中：</w:t>
      </w:r>
      <w:r>
        <w:rPr>
          <w:rFonts w:hint="default" w:ascii="Times New Roman" w:hAnsi="Times New Roman" w:eastAsia="仿宋_GB2312" w:cs="Times New Roman"/>
          <w:color w:val="auto"/>
          <w:kern w:val="0"/>
          <w:sz w:val="32"/>
          <w:szCs w:val="32"/>
          <w:highlight w:val="none"/>
          <w:lang w:val="en-US" w:eastAsia="zh-CN"/>
        </w:rPr>
        <w:t>基本支出478.02万元，比上年</w:t>
      </w:r>
      <w:r>
        <w:rPr>
          <w:rFonts w:hint="eastAsia" w:eastAsia="仿宋_GB2312" w:cs="Times New Roman"/>
          <w:color w:val="auto"/>
          <w:kern w:val="0"/>
          <w:sz w:val="32"/>
          <w:szCs w:val="32"/>
          <w:highlight w:val="none"/>
          <w:lang w:val="en-US" w:eastAsia="zh-CN"/>
        </w:rPr>
        <w:t>预算</w:t>
      </w:r>
      <w:r>
        <w:rPr>
          <w:rFonts w:hint="default" w:ascii="Times New Roman" w:hAnsi="Times New Roman" w:eastAsia="仿宋_GB2312" w:cs="Times New Roman"/>
          <w:color w:val="auto"/>
          <w:kern w:val="0"/>
          <w:sz w:val="32"/>
          <w:szCs w:val="32"/>
          <w:highlight w:val="none"/>
          <w:lang w:val="en-US" w:eastAsia="zh-CN"/>
        </w:rPr>
        <w:t>增加25.23万元，增长5.57%，主要原因是：202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年新调入2名公务员，人员工资、社保缴费增加。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项目支出1779.</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5万元，比上年预算数增加605.</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8万元，增长51.54%，主要原因是：2025年增加改造农村公路永宁镇至博湖县、永宁镇至新户村等项目</w:t>
      </w:r>
      <w:r>
        <w:rPr>
          <w:rFonts w:hint="eastAsia" w:eastAsia="仿宋_GB2312" w:cs="Times New Roman"/>
          <w:color w:val="auto"/>
          <w:kern w:val="0"/>
          <w:sz w:val="32"/>
          <w:szCs w:val="32"/>
          <w:highlight w:val="none"/>
          <w:lang w:val="en-US" w:eastAsia="zh-CN"/>
        </w:rPr>
        <w:t>，减少农村客运补贴及城市交通发展奖励资金项目。</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both"/>
        <w:textAlignment w:val="auto"/>
        <w:rPr>
          <w:rFonts w:hint="default" w:ascii="Times New Roman" w:hAnsi="Times New Roman" w:eastAsia="仿宋_GB2312" w:cs="Times New Roman"/>
          <w:b/>
          <w:kern w:val="0"/>
          <w:sz w:val="32"/>
          <w:szCs w:val="32"/>
          <w:highlight w:val="none"/>
          <w:lang w:val="en-US" w:eastAsia="zh-CN"/>
        </w:rPr>
      </w:pPr>
      <w:r>
        <w:rPr>
          <w:rFonts w:hint="default" w:ascii="Times New Roman" w:hAnsi="Times New Roman" w:eastAsia="仿宋_GB2312" w:cs="Times New Roman"/>
          <w:b/>
          <w:kern w:val="0"/>
          <w:sz w:val="32"/>
          <w:szCs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交通运输支出（类）2118.79万元，占93.85%。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2.社会保障和就业支出（类）74.9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万元，占3.32%。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3.卫生健康支出（类）27.64万元，占1.22%。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4.住房保障支出（类）36.13万元,占1.6</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kern w:val="0"/>
          <w:sz w:val="32"/>
          <w:szCs w:val="32"/>
          <w:highlight w:val="none"/>
          <w:lang w:val="en-US" w:eastAsia="zh-CN"/>
        </w:rPr>
      </w:pPr>
      <w:r>
        <w:rPr>
          <w:rFonts w:hint="default" w:ascii="Times New Roman" w:hAnsi="Times New Roman" w:eastAsia="仿宋_GB2312" w:cs="Times New Roman"/>
          <w:b/>
          <w:kern w:val="0"/>
          <w:sz w:val="32"/>
          <w:szCs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1.社会保障和就业支出（类）行政事业单位养老支出（款）行政单位离退休(项):2025年预算数为2.64万元，比上年预算减少6.76万元,下降</w:t>
      </w:r>
      <w:r>
        <w:rPr>
          <w:rFonts w:hint="eastAsia" w:eastAsia="仿宋_GB2312" w:cs="Times New Roman"/>
          <w:color w:val="auto"/>
          <w:kern w:val="0"/>
          <w:sz w:val="32"/>
          <w:szCs w:val="32"/>
          <w:highlight w:val="none"/>
          <w:lang w:val="en-US" w:eastAsia="zh-CN"/>
        </w:rPr>
        <w:t>71.91</w:t>
      </w:r>
      <w:r>
        <w:rPr>
          <w:rFonts w:hint="default" w:ascii="Times New Roman" w:hAnsi="Times New Roman" w:eastAsia="仿宋_GB2312" w:cs="Times New Roman"/>
          <w:color w:val="auto"/>
          <w:kern w:val="0"/>
          <w:sz w:val="32"/>
          <w:szCs w:val="32"/>
          <w:highlight w:val="none"/>
          <w:lang w:val="en-US" w:eastAsia="zh-CN"/>
        </w:rPr>
        <w:t>%,主要原因是：离退休人员</w:t>
      </w:r>
      <w:r>
        <w:rPr>
          <w:rFonts w:hint="eastAsia" w:eastAsia="仿宋_GB2312" w:cs="Times New Roman"/>
          <w:color w:val="auto"/>
          <w:kern w:val="0"/>
          <w:sz w:val="32"/>
          <w:szCs w:val="32"/>
          <w:highlight w:val="none"/>
          <w:lang w:val="en-US" w:eastAsia="zh-CN"/>
        </w:rPr>
        <w:t>减少，故经费减少。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2.社会保障和就业支出（类）行政事业单位养老支出（款）机关事业单位基本养老保险缴费支出(项):2025年预算数为48.18万元，比上年预算增加4.35万元,增长9.92%,主要原因是：</w:t>
      </w:r>
      <w:r>
        <w:rPr>
          <w:rFonts w:hint="default" w:ascii="Times New Roman" w:hAnsi="Times New Roman" w:eastAsia="仿宋_GB2312" w:cs="Times New Roman"/>
          <w:kern w:val="0"/>
          <w:sz w:val="32"/>
          <w:szCs w:val="32"/>
          <w:highlight w:val="none"/>
          <w:lang w:val="en-US" w:eastAsia="zh-CN"/>
        </w:rPr>
        <w:t>人员工资基数调增。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3.社会保障和就业支出（类）行政事业单位养老支出（款）机关事业单位职业年金缴费支出(项):2025年预算数为24.0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2.1</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万元,增长9.9</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%,主要原因是：人员增加，社保基数调整。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4.卫生健康支出（类）行政事业单位医疗（款）行政单位医疗(项):2025年预算数为13.9万元，比上年预算增加2.04万元,增长17.20%,主要原因是：</w:t>
      </w:r>
      <w:r>
        <w:rPr>
          <w:rFonts w:hint="default" w:ascii="Times New Roman" w:hAnsi="Times New Roman" w:eastAsia="仿宋_GB2312" w:cs="Times New Roman"/>
          <w:kern w:val="0"/>
          <w:sz w:val="32"/>
          <w:szCs w:val="32"/>
          <w:highlight w:val="none"/>
          <w:lang w:val="en-US" w:eastAsia="zh-CN"/>
        </w:rPr>
        <w:t>行政医疗人员工资基数调整。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5.卫生健康支出（类）行政事业单位医疗（款）事业单位医疗(项):2025年预算数为8.29万元，比上年预算增加0.98万元,增长13.41%,主要原因是：</w:t>
      </w:r>
      <w:r>
        <w:rPr>
          <w:rFonts w:hint="default" w:ascii="Times New Roman" w:hAnsi="Times New Roman" w:eastAsia="仿宋_GB2312" w:cs="Times New Roman"/>
          <w:kern w:val="0"/>
          <w:sz w:val="32"/>
          <w:szCs w:val="32"/>
          <w:highlight w:val="none"/>
          <w:lang w:val="en-US" w:eastAsia="zh-CN"/>
        </w:rPr>
        <w:t>事业单位在职医疗人员工资基数调增。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6.卫生健康支出（类）行政事业单位医疗（款）公务员医疗补助(项):2025年预算数为5.45万元，比上年预算增加0.77万元,增长16.45%,主要原因是：社保缴费基数调整。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7.交通运输支出（类）公路水路运输（款）行政运行(项):2025年预算数为225.32万元，比上年预算增加24.97万元,增长12.46%,主要原因是：</w:t>
      </w:r>
      <w:r>
        <w:rPr>
          <w:rFonts w:hint="default" w:ascii="Times New Roman" w:hAnsi="Times New Roman" w:eastAsia="仿宋_GB2312" w:cs="Times New Roman"/>
          <w:kern w:val="0"/>
          <w:sz w:val="32"/>
          <w:szCs w:val="32"/>
          <w:highlight w:val="none"/>
          <w:lang w:val="en-US" w:eastAsia="zh-CN"/>
        </w:rPr>
        <w:t>2024年调入2名公务员，人员</w:t>
      </w:r>
      <w:r>
        <w:rPr>
          <w:rFonts w:hint="default" w:ascii="Times New Roman" w:hAnsi="Times New Roman" w:eastAsia="仿宋_GB2312" w:cs="Times New Roman"/>
          <w:color w:val="auto"/>
          <w:kern w:val="0"/>
          <w:sz w:val="32"/>
          <w:szCs w:val="32"/>
          <w:highlight w:val="none"/>
          <w:lang w:eastAsia="zh-CN"/>
        </w:rPr>
        <w:t>工资、社保缴费</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8.交通运输支出（类）公路水路运输（款）公路建设(项):2025年预算数为1159.2万元，比上年预算增加244.08万元,增长26.67%,主要原因是：</w:t>
      </w:r>
      <w:r>
        <w:rPr>
          <w:rFonts w:hint="default" w:ascii="Times New Roman" w:hAnsi="Times New Roman" w:eastAsia="仿宋_GB2312" w:cs="Times New Roman"/>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农村基础建设项目</w:t>
      </w:r>
      <w:r>
        <w:rPr>
          <w:rFonts w:hint="default" w:ascii="Times New Roman" w:hAnsi="Times New Roman"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9.交通运输支出（类）公路水路运输（款）其他公路水路运输支出(项):2025年预算数为114.02万元,比上年预算</w:t>
      </w:r>
      <w:r>
        <w:rPr>
          <w:rFonts w:hint="eastAsia" w:eastAsia="仿宋_GB2312" w:cs="Times New Roman"/>
          <w:color w:val="auto"/>
          <w:kern w:val="0"/>
          <w:sz w:val="32"/>
          <w:szCs w:val="32"/>
          <w:highlight w:val="none"/>
          <w:lang w:val="en-US" w:eastAsia="zh-CN"/>
        </w:rPr>
        <w:t>减少6.56</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5.44</w:t>
      </w:r>
      <w:r>
        <w:rPr>
          <w:rFonts w:hint="default" w:ascii="Times New Roman" w:hAnsi="Times New Roman" w:eastAsia="仿宋_GB2312" w:cs="Times New Roman"/>
          <w:color w:val="auto"/>
          <w:kern w:val="0"/>
          <w:sz w:val="32"/>
          <w:szCs w:val="32"/>
          <w:highlight w:val="none"/>
          <w:lang w:val="en-US" w:eastAsia="zh-CN"/>
        </w:rPr>
        <w:t>%,主要原因是：事业人员减少。</w:t>
      </w: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10.交通运输支出（类）公路水路运输（款）公路养护(项):2025年预算数为</w:t>
      </w:r>
      <w:r>
        <w:rPr>
          <w:rFonts w:hint="eastAsia" w:eastAsia="仿宋_GB2312" w:cs="Times New Roman"/>
          <w:color w:val="auto"/>
          <w:kern w:val="0"/>
          <w:sz w:val="32"/>
          <w:szCs w:val="32"/>
          <w:highlight w:val="none"/>
          <w:lang w:val="en-US" w:eastAsia="zh-CN"/>
        </w:rPr>
        <w:t>620.25</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517.25</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502.18</w:t>
      </w:r>
      <w:r>
        <w:rPr>
          <w:rFonts w:hint="default" w:ascii="Times New Roman" w:hAnsi="Times New Roman" w:eastAsia="仿宋_GB2312" w:cs="Times New Roman"/>
          <w:color w:val="auto"/>
          <w:kern w:val="0"/>
          <w:sz w:val="32"/>
          <w:szCs w:val="32"/>
          <w:highlight w:val="none"/>
          <w:lang w:val="en-US" w:eastAsia="zh-CN"/>
        </w:rPr>
        <w:t>%,主要原因是：农村公路养护项目</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.住房保障支出（类）住房改革支出（款）住房公积金(项):2025年预算数为36.13万元，比上年预算增加3.26万元,增长9.92%,主要原因是：</w:t>
      </w:r>
      <w:r>
        <w:rPr>
          <w:rFonts w:hint="eastAsia" w:ascii="Times New Roman" w:hAnsi="Times New Roman" w:eastAsia="仿宋_GB2312" w:cs="宋体"/>
          <w:kern w:val="0"/>
          <w:sz w:val="32"/>
          <w:szCs w:val="32"/>
          <w:highlight w:val="none"/>
          <w:lang w:val="en-US" w:eastAsia="zh-CN"/>
        </w:rPr>
        <w:t>人员工资基数调增</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 xml:space="preserve">交通运输支出（类）其他交通运输支出（款）公共交 </w:t>
      </w:r>
    </w:p>
    <w:p>
      <w:pPr>
        <w:keepNext w:val="0"/>
        <w:keepLines w:val="0"/>
        <w:widowControl/>
        <w:suppressLineNumbers w:val="0"/>
        <w:jc w:val="left"/>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通运营补助（项）：</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5年预算数为0万元，比上年预算减少</w:t>
      </w:r>
      <w:r>
        <w:rPr>
          <w:rFonts w:hint="default" w:ascii="Times New Roman" w:hAnsi="Times New Roman" w:eastAsia="仿宋_GB2312" w:cs="Times New Roman"/>
          <w:color w:val="auto"/>
          <w:kern w:val="0"/>
          <w:sz w:val="32"/>
          <w:szCs w:val="32"/>
          <w:highlight w:val="none"/>
          <w:lang w:val="en-US" w:eastAsia="zh-CN"/>
        </w:rPr>
        <w:t>156.15</w:t>
      </w:r>
      <w:r>
        <w:rPr>
          <w:rFonts w:hint="eastAsia" w:ascii="Times New Roman" w:hAnsi="Times New Roman" w:eastAsia="仿宋_GB2312" w:cs="Times New Roman"/>
          <w:color w:val="auto"/>
          <w:kern w:val="0"/>
          <w:sz w:val="32"/>
          <w:szCs w:val="32"/>
          <w:highlight w:val="none"/>
          <w:lang w:val="en-US" w:eastAsia="zh-CN"/>
        </w:rPr>
        <w:t>万元，下降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w:t>
      </w:r>
      <w:r>
        <w:rPr>
          <w:rFonts w:hint="default" w:ascii="Times New Roman" w:hAnsi="Times New Roman" w:eastAsia="仿宋_GB2312" w:cs="Times New Roman"/>
          <w:color w:val="auto"/>
          <w:kern w:val="0"/>
          <w:sz w:val="32"/>
          <w:szCs w:val="32"/>
          <w:highlight w:val="none"/>
          <w:lang w:val="en-US" w:eastAsia="zh-CN"/>
        </w:rPr>
        <w:t>农客</w:t>
      </w:r>
      <w:r>
        <w:rPr>
          <w:rFonts w:hint="eastAsia" w:ascii="Times New Roman" w:hAnsi="Times New Roman" w:eastAsia="仿宋_GB2312" w:cs="Times New Roman"/>
          <w:color w:val="auto"/>
          <w:kern w:val="0"/>
          <w:sz w:val="32"/>
          <w:szCs w:val="32"/>
          <w:highlight w:val="none"/>
          <w:lang w:val="en-US" w:eastAsia="zh-CN"/>
        </w:rPr>
        <w:t>运客运补贴及城市交通发展奖励资金项目减少。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六、关于焉耆回族自治县交通运输局2025年一般公共预算基本支出情况说明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焉耆回族自治县交通运输局2025年一般公共预算基本支出478.02万元，其中：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人员经费461.96万元，主要包括:基本工资、津贴补贴、机关事业单位基本养老保险缴费、职业年金缴费、职工基本医疗保险缴费、公务员医疗补助缴费、其他社会保障缴费、住房公积金、退休费。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公用经费16.06万元，主要包括:办公费、印刷费、水费、电费、邮电费、取暖费、工会经费、福利费、公务用车运行维护费。</w:t>
      </w:r>
    </w:p>
    <w:p>
      <w:pPr>
        <w:pageBreakBefore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楷体_GB2312" w:cs="Times New Roman"/>
          <w:b/>
          <w:bCs/>
          <w:color w:val="auto"/>
          <w:spacing w:val="-6"/>
          <w:kern w:val="0"/>
          <w:sz w:val="32"/>
          <w:szCs w:val="32"/>
          <w:highlight w:val="none"/>
          <w:lang w:val="en-US" w:eastAsia="zh-CN" w:bidi="ar-SA"/>
        </w:rPr>
      </w:pPr>
      <w:r>
        <w:rPr>
          <w:rFonts w:hint="default" w:ascii="Times New Roman" w:hAnsi="Times New Roman" w:eastAsia="楷体_GB2312" w:cs="Times New Roman"/>
          <w:b/>
          <w:bCs/>
          <w:color w:val="auto"/>
          <w:spacing w:val="-6"/>
          <w:kern w:val="0"/>
          <w:sz w:val="32"/>
          <w:szCs w:val="32"/>
          <w:highlight w:val="none"/>
          <w:lang w:val="en-US" w:eastAsia="zh-CN" w:bidi="ar-SA"/>
        </w:rPr>
        <w:t>七、关于焉耆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color w:val="auto"/>
          <w:spacing w:val="-6"/>
          <w:kern w:val="0"/>
          <w:sz w:val="32"/>
          <w:szCs w:val="32"/>
          <w:highlight w:val="none"/>
          <w:lang w:val="en-US" w:eastAsia="zh-CN" w:bidi="ar-SA"/>
        </w:rPr>
        <w:t>县交通运输局2025年一般公共预算项目支出情况说明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1.项目名称：2025年农村公路养护工程项目（永宁镇-马莲潭村3组、北大渠乡-十号渠村4组、霍拉山村-乃明莫顿村）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设立的政策依据：巴财建[2024]141号文件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预算安排规模：517.25万元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项目承担单位：焉耆回族自治县交通运输局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资金分配情况：基础设施改造项目3条，整治农村公路平交道口590处，建设道路18.33公里。年初到位资金517.25万元。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rPr>
        <w:t>资金执行时间：2025年4月5日-12月26日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2.项目名称：2025年中央对地方成品油税费改革转移支付资金用于农村公路养护</w:t>
      </w:r>
      <w:r>
        <w:rPr>
          <w:rFonts w:hint="eastAsia" w:ascii="Times New Roman" w:hAnsi="Times New Roman" w:eastAsia="仿宋_GB2312" w:cs="Times New Roman"/>
          <w:color w:val="auto"/>
          <w:kern w:val="0"/>
          <w:sz w:val="32"/>
          <w:szCs w:val="32"/>
          <w:highlight w:val="no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设立的政策依据：巴财建[2024]134号文件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项目承担单位：焉耆回族自治县交通运输局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资金分配情况：完成安装标识标牌25个、农村油面修补6000平米、农村公路补画路面5000平米，公路养护里程103千米，总投资103万元，年初到位资金103万元。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资金执行时间：2025年4月1日-12月10日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3.项目名称：改造农村公路永宁镇至博湖县、永宁镇至新户村等项目建设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设立的政策依据：巴财建[2024]143号文件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预算安排规模：1159.20万元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项目承担单位：焉耆回族自治县交通运输局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资金分配情况：道路基础设施改造项目2条，建设道路15.55公里，年初到位资金1159.20万元。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2日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20日</w:t>
      </w:r>
    </w:p>
    <w:p>
      <w:pPr>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楷体_GB2312" w:cs="Times New Roman"/>
          <w:b/>
          <w:bCs w:val="0"/>
          <w:kern w:val="0"/>
          <w:sz w:val="32"/>
          <w:szCs w:val="32"/>
          <w:highlight w:val="none"/>
          <w:lang w:val="en-US" w:eastAsia="zh-CN"/>
        </w:rPr>
      </w:pPr>
      <w:r>
        <w:rPr>
          <w:rFonts w:hint="default" w:ascii="Times New Roman" w:hAnsi="Times New Roman" w:eastAsia="楷体_GB2312" w:cs="Times New Roman"/>
          <w:b/>
          <w:bCs w:val="0"/>
          <w:kern w:val="0"/>
          <w:sz w:val="32"/>
          <w:szCs w:val="32"/>
          <w:highlight w:val="none"/>
          <w:lang w:val="en-US" w:eastAsia="zh-CN"/>
        </w:rPr>
        <w:t>八、关于焉耆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val="0"/>
          <w:kern w:val="0"/>
          <w:sz w:val="32"/>
          <w:szCs w:val="32"/>
          <w:highlight w:val="none"/>
          <w:lang w:val="en-US" w:eastAsia="zh-CN"/>
        </w:rPr>
        <w:t>县交通运输局2025年政府性基金预算拨款情况说明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焉耆回族自治县交通运输局2025年没有使用政府性基金预算拨款安排的支出，政府性基金预算支出情况表为空表。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jc w:val="both"/>
        <w:textAlignment w:val="auto"/>
        <w:rPr>
          <w:rFonts w:hint="default" w:ascii="Times New Roman" w:hAnsi="Times New Roman" w:eastAsia="楷体_GB2312" w:cs="Times New Roman"/>
          <w:b/>
          <w:bCs/>
          <w:spacing w:val="-6"/>
          <w:kern w:val="0"/>
          <w:sz w:val="32"/>
          <w:szCs w:val="32"/>
          <w:highlight w:val="none"/>
          <w:lang w:val="en-US" w:eastAsia="zh-CN"/>
        </w:rPr>
      </w:pPr>
      <w:r>
        <w:rPr>
          <w:rFonts w:hint="default" w:ascii="Times New Roman" w:hAnsi="Times New Roman" w:eastAsia="楷体_GB2312" w:cs="Times New Roman"/>
          <w:b/>
          <w:bCs/>
          <w:spacing w:val="-6"/>
          <w:kern w:val="0"/>
          <w:sz w:val="32"/>
          <w:szCs w:val="32"/>
          <w:highlight w:val="none"/>
          <w:lang w:val="en-US" w:eastAsia="zh-CN"/>
        </w:rPr>
        <w:t>九、关于焉耆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spacing w:val="-6"/>
          <w:kern w:val="0"/>
          <w:sz w:val="32"/>
          <w:szCs w:val="32"/>
          <w:highlight w:val="none"/>
          <w:lang w:val="en-US" w:eastAsia="zh-CN"/>
        </w:rPr>
        <w:t>县交通运输局2025年国有资本经营预算拨款情况说明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焉耆回族自治县交通运输局2025年没有使用国有资本经营预算拨款安排的支出，国有资本经营预算支出情况表为空表。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jc w:val="both"/>
        <w:textAlignment w:val="auto"/>
        <w:rPr>
          <w:rFonts w:hint="default" w:ascii="Times New Roman" w:hAnsi="Times New Roman" w:eastAsia="楷体_GB2312" w:cs="Times New Roman"/>
          <w:b/>
          <w:bCs/>
          <w:spacing w:val="-6"/>
          <w:kern w:val="0"/>
          <w:sz w:val="32"/>
          <w:szCs w:val="32"/>
          <w:highlight w:val="none"/>
          <w:lang w:val="en-US" w:eastAsia="zh-CN"/>
        </w:rPr>
      </w:pPr>
      <w:r>
        <w:rPr>
          <w:rFonts w:hint="default" w:ascii="Times New Roman" w:hAnsi="Times New Roman" w:eastAsia="楷体_GB2312" w:cs="Times New Roman"/>
          <w:b/>
          <w:bCs/>
          <w:spacing w:val="-6"/>
          <w:kern w:val="0"/>
          <w:sz w:val="32"/>
          <w:szCs w:val="32"/>
          <w:highlight w:val="none"/>
          <w:lang w:val="en-US" w:eastAsia="zh-CN"/>
        </w:rPr>
        <w:t>十、关于焉耆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spacing w:val="-6"/>
          <w:kern w:val="0"/>
          <w:sz w:val="32"/>
          <w:szCs w:val="32"/>
          <w:highlight w:val="none"/>
          <w:lang w:val="en-US" w:eastAsia="zh-CN"/>
        </w:rPr>
        <w:t>县交通运输局2025年财政拨款“三公”经费预算情况说明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焉耆回族自治县交通运输局2025年财政拨款“三公”经费数为1.2万元，其中：因公出国（境）费0万元,公务用车购置费0万元,公务用车运行费1.2万元</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本年度无预算安排</w:t>
      </w:r>
      <w:r>
        <w:rPr>
          <w:rFonts w:hint="eastAsia"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本年度无预算安排</w:t>
      </w:r>
      <w:r>
        <w:rPr>
          <w:rFonts w:hint="eastAsia"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与上年持平</w:t>
      </w:r>
      <w:r>
        <w:rPr>
          <w:rFonts w:hint="eastAsia"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本年度无预算安排</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一、关于</w:t>
      </w:r>
      <w:r>
        <w:rPr>
          <w:rFonts w:hint="default" w:ascii="Times New Roman" w:hAnsi="Times New Roman" w:eastAsia="楷体_GB2312" w:cs="Times New Roman"/>
          <w:b/>
          <w:bCs/>
          <w:spacing w:val="-6"/>
          <w:kern w:val="0"/>
          <w:sz w:val="32"/>
          <w:szCs w:val="32"/>
          <w:highlight w:val="none"/>
          <w:lang w:val="en-US" w:eastAsia="zh-CN"/>
        </w:rPr>
        <w:t>焉耆</w:t>
      </w:r>
      <w:r>
        <w:rPr>
          <w:rFonts w:hint="default" w:ascii="Times New Roman" w:hAnsi="Times New Roman" w:eastAsia="楷体_GB2312" w:cs="Times New Roman"/>
          <w:b/>
          <w:bCs w:val="0"/>
          <w:color w:val="auto"/>
          <w:kern w:val="0"/>
          <w:sz w:val="32"/>
          <w:szCs w:val="32"/>
          <w:highlight w:val="none"/>
          <w:lang w:val="en-US" w:eastAsia="zh-CN"/>
        </w:rPr>
        <w:t>回族自治</w:t>
      </w:r>
      <w:r>
        <w:rPr>
          <w:rFonts w:hint="default" w:ascii="Times New Roman" w:hAnsi="Times New Roman" w:eastAsia="楷体_GB2312" w:cs="Times New Roman"/>
          <w:b/>
          <w:bCs/>
          <w:spacing w:val="-6"/>
          <w:kern w:val="0"/>
          <w:sz w:val="32"/>
          <w:szCs w:val="32"/>
          <w:highlight w:val="none"/>
          <w:lang w:val="en-US" w:eastAsia="zh-CN"/>
        </w:rPr>
        <w:t>县交通运输局2025</w:t>
      </w:r>
      <w:r>
        <w:rPr>
          <w:rFonts w:hint="default" w:ascii="Times New Roman" w:hAnsi="Times New Roman" w:eastAsia="楷体_GB2312" w:cs="Times New Roman"/>
          <w:b/>
          <w:bCs/>
          <w:color w:val="auto"/>
          <w:kern w:val="0"/>
          <w:sz w:val="32"/>
          <w:szCs w:val="32"/>
          <w:highlight w:val="none"/>
          <w:lang w:val="en-US" w:eastAsia="zh-CN"/>
        </w:rPr>
        <w:t>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焉耆回族自治县交通运输局2025年上年结转结余0.1万元，包括：财政拨款0.1万元，非财政拨款0万元，其中：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1.2024年超长期特别国债支持交通运输领域消费品以旧换新项目0.1万元，主要用于发放货车以旧换新补贴。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kern w:val="0"/>
          <w:sz w:val="32"/>
          <w:szCs w:val="32"/>
          <w:highlight w:val="none"/>
          <w:lang w:val="en-US" w:eastAsia="zh-CN"/>
        </w:rPr>
      </w:pPr>
      <w:r>
        <w:rPr>
          <w:rFonts w:hint="default" w:ascii="Times New Roman" w:hAnsi="Times New Roman" w:eastAsia="楷体_GB2312" w:cs="Times New Roman"/>
          <w:b/>
          <w:bCs/>
          <w:kern w:val="0"/>
          <w:sz w:val="32"/>
          <w:szCs w:val="32"/>
          <w:highlight w:val="none"/>
          <w:lang w:val="en-US" w:eastAsia="zh-CN"/>
        </w:rPr>
        <w:t>十二、其他重要事项的情况说明</w:t>
      </w:r>
    </w:p>
    <w:p>
      <w:pPr>
        <w:pageBreakBefore w:val="0"/>
        <w:widowControl/>
        <w:kinsoku/>
        <w:wordWrap/>
        <w:overflowPunct/>
        <w:topLinePunct w:val="0"/>
        <w:autoSpaceDE/>
        <w:autoSpaceDN/>
        <w:bidi w:val="0"/>
        <w:adjustRightInd/>
        <w:snapToGrid/>
        <w:spacing w:line="600" w:lineRule="exact"/>
        <w:ind w:firstLine="642"/>
        <w:jc w:val="left"/>
        <w:textAlignment w:val="auto"/>
        <w:rPr>
          <w:rStyle w:val="15"/>
          <w:rFonts w:hint="default" w:ascii="Times New Roman" w:hAnsi="Times New Roman" w:eastAsia="楷体" w:cs="Times New Roman"/>
          <w:highlight w:val="none"/>
        </w:rPr>
      </w:pPr>
      <w:r>
        <w:rPr>
          <w:rFonts w:hint="default" w:ascii="Times New Roman" w:hAnsi="Times New Roman" w:eastAsia="仿宋_GB2312" w:cs="Times New Roman"/>
          <w:b/>
          <w:kern w:val="0"/>
          <w:sz w:val="32"/>
          <w:szCs w:val="32"/>
          <w:highlight w:val="none"/>
        </w:rPr>
        <w:t>（一）机关运行经费情况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焉耆回族自治县交通运输局2025年的机关运行经费财政拨款预算16.06万元，比上年预算增加2.17万元，增长15.62%，主要原因是：根据单位业务情况安排预算人员增加，经费增加。</w:t>
      </w:r>
    </w:p>
    <w:p>
      <w:pPr>
        <w:pageBreakBefore w:val="0"/>
        <w:widowControl/>
        <w:kinsoku/>
        <w:wordWrap/>
        <w:overflowPunct/>
        <w:topLinePunct w:val="0"/>
        <w:autoSpaceDE/>
        <w:autoSpaceDN/>
        <w:bidi w:val="0"/>
        <w:adjustRightInd/>
        <w:snapToGrid/>
        <w:spacing w:line="600" w:lineRule="exact"/>
        <w:ind w:firstLine="642"/>
        <w:jc w:val="left"/>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焉耆回族自治县交通运输局政府采购预算1268.53万元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其中：政府采购货物预算6.33万元</w:t>
      </w:r>
      <w:r>
        <w:rPr>
          <w:rFonts w:hint="default" w:ascii="Times New Roman" w:hAnsi="Times New Roman" w:eastAsia="仿宋_GB2312" w:cs="Times New Roman"/>
          <w:color w:val="0000FF"/>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政府采购工程预算1159.2万元，政府采购服务预算103万元。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焉耆回族自治县交通运输局</w:t>
      </w:r>
      <w:r>
        <w:rPr>
          <w:rFonts w:hint="default" w:ascii="Times New Roman" w:hAnsi="Times New Roman" w:eastAsia="仿宋_GB2312" w:cs="Times New Roman"/>
          <w:sz w:val="32"/>
          <w:szCs w:val="32"/>
          <w:highlight w:val="none"/>
          <w:lang w:val="en-US" w:eastAsia="zh-CN"/>
        </w:rPr>
        <w:t>面向中小企业预留政府采购项目预算金额1268.53万元，面向小微企业预留政府采购项目预算金额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1268.53万元。</w:t>
      </w:r>
    </w:p>
    <w:p>
      <w:pPr>
        <w:pageBreakBefore w:val="0"/>
        <w:widowControl/>
        <w:kinsoku/>
        <w:wordWrap/>
        <w:overflowPunct/>
        <w:topLinePunct w:val="0"/>
        <w:autoSpaceDE/>
        <w:autoSpaceDN/>
        <w:bidi w:val="0"/>
        <w:adjustRightInd/>
        <w:snapToGrid/>
        <w:spacing w:line="600" w:lineRule="exact"/>
        <w:ind w:firstLine="642"/>
        <w:jc w:val="left"/>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（三）国有资产占用使用情况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截至2024年底，焉耆回族自治县交通运输局及下属各预算单位占用使用国有资产总体情况为：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房屋69188.89平方米，价值247.56万元。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车辆6辆，价值50.57万元。其中：一般公务用车0辆，价值0万元，执法执勤用车2辆，价值0万元，其他用车1辆，价值30.57万元</w:t>
      </w:r>
      <w:r>
        <w:rPr>
          <w:rFonts w:hint="eastAsia"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3.办公家具价值18.70万元。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4.其他资产价值179.6万元。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单位价值50万元以上大型设备0台，单位价值100万元以上大型设备0台。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2025年单位预算未安排购置车辆经费</w:t>
      </w:r>
      <w:r>
        <w:rPr>
          <w:rFonts w:hint="default" w:ascii="Times New Roman" w:hAnsi="Times New Roman" w:eastAsia="仿宋_GB2312" w:cs="Times New Roman"/>
          <w:sz w:val="32"/>
          <w:szCs w:val="32"/>
          <w:highlight w:val="none"/>
          <w:lang w:val="en-US" w:eastAsia="zh-CN"/>
        </w:rPr>
        <w:t>，安排购置50万元以上大型设备0台，单位价值100万元以上大型设备0台。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（四）预算绩效情况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整体预算绩效目标1个，涉及预算金额2257.57万元；当年预算安排项目共</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涉及预算金额1779.</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5万元；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按项目分别填报</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p>
    <w:tbl>
      <w:tblPr>
        <w:tblStyle w:val="10"/>
        <w:tblpPr w:leftFromText="180" w:rightFromText="180" w:vertAnchor="text" w:horzAnchor="page" w:tblpX="1493" w:tblpY="-1252"/>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eastAsia" w:ascii="Times New Roman" w:hAnsi="Times New Roman" w:eastAsia="仿宋_GB2312" w:cs="Times New Roman"/>
                <w:b/>
                <w:color w:val="000000"/>
                <w:kern w:val="0"/>
                <w:sz w:val="32"/>
                <w:szCs w:val="32"/>
                <w:highlight w:val="none"/>
                <w:lang w:val="en-US" w:eastAsia="zh-CN" w:bidi="ar"/>
              </w:rPr>
              <w:t>单位</w:t>
            </w:r>
            <w:r>
              <w:rPr>
                <w:rFonts w:hint="default" w:ascii="Times New Roman" w:hAnsi="Times New Roman" w:eastAsia="仿宋_GB2312" w:cs="Times New Roman"/>
                <w:b/>
                <w:color w:val="000000"/>
                <w:kern w:val="0"/>
                <w:sz w:val="32"/>
                <w:szCs w:val="32"/>
                <w:highlight w:val="none"/>
                <w:lang w:val="en-US" w:eastAsia="zh-CN" w:bidi="ar"/>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eastAsia"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bidi="ar"/>
              </w:rPr>
              <w:t>单位</w:t>
            </w:r>
            <w:r>
              <w:rPr>
                <w:rFonts w:hint="default" w:ascii="Times New Roman" w:hAnsi="Times New Roman" w:eastAsia="宋体" w:cs="Times New Roman"/>
                <w:i w:val="0"/>
                <w:iCs w:val="0"/>
                <w:color w:val="000000"/>
                <w:kern w:val="0"/>
                <w:sz w:val="20"/>
                <w:szCs w:val="20"/>
                <w:highlight w:val="none"/>
                <w:u w:val="none"/>
                <w:lang w:val="en-US" w:eastAsia="zh-CN" w:bidi="ar"/>
              </w:rPr>
              <w:t>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400" w:firstLineChars="7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焉耆回族自治县交通运输局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bidi="ar"/>
              </w:rPr>
              <w:t>单位</w:t>
            </w:r>
            <w:r>
              <w:rPr>
                <w:rFonts w:hint="default" w:ascii="Times New Roman" w:hAnsi="Times New Roman" w:eastAsia="宋体" w:cs="Times New Roman"/>
                <w:i w:val="0"/>
                <w:iCs w:val="0"/>
                <w:color w:val="000000"/>
                <w:kern w:val="0"/>
                <w:sz w:val="20"/>
                <w:szCs w:val="20"/>
                <w:highlight w:val="none"/>
                <w:u w:val="none"/>
                <w:lang w:val="en-US" w:eastAsia="zh-CN" w:bidi="ar"/>
              </w:rPr>
              <w:t>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300"/>
              <w:jc w:val="left"/>
              <w:rPr>
                <w:rFonts w:hint="default" w:ascii="Times New Roman" w:hAnsi="Times New Roman" w:eastAsia="宋体" w:cs="Times New Roman"/>
                <w:i w:val="0"/>
                <w:iCs w:val="0"/>
                <w:color w:val="000000"/>
                <w:sz w:val="20"/>
                <w:szCs w:val="20"/>
                <w:highlight w:val="none"/>
                <w:u w:val="none"/>
                <w:lang w:eastAsia="zh-CN"/>
              </w:rPr>
            </w:pPr>
            <w:r>
              <w:rPr>
                <w:rFonts w:hint="eastAsia" w:cs="Times New Roman"/>
                <w:i w:val="0"/>
                <w:iCs w:val="0"/>
                <w:color w:val="000000"/>
                <w:sz w:val="20"/>
                <w:szCs w:val="20"/>
                <w:highlight w:val="none"/>
                <w:u w:val="none"/>
                <w:lang w:eastAsia="zh-CN"/>
              </w:rPr>
              <w:t>杨晶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15276229949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20" w:firstLineChars="200"/>
              <w:jc w:val="left"/>
              <w:textAlignment w:val="center"/>
              <w:rPr>
                <w:rFonts w:hint="default" w:ascii="Times New Roman" w:hAnsi="Times New Roman" w:eastAsia="宋体" w:cs="Times New Roman"/>
                <w:i w:val="0"/>
                <w:iCs w:val="0"/>
                <w:color w:val="000000"/>
                <w:sz w:val="16"/>
                <w:szCs w:val="16"/>
                <w:highlight w:val="none"/>
                <w:u w:val="none"/>
              </w:rPr>
            </w:pPr>
            <w:r>
              <w:rPr>
                <w:rFonts w:hint="eastAsia" w:cs="Times New Roman"/>
                <w:i w:val="0"/>
                <w:iCs w:val="0"/>
                <w:color w:val="000000"/>
                <w:sz w:val="16"/>
                <w:szCs w:val="16"/>
                <w:highlight w:val="none"/>
                <w:u w:val="none"/>
                <w:lang w:eastAsia="zh-CN"/>
              </w:rPr>
              <w:t>焉耆回族</w:t>
            </w:r>
            <w:r>
              <w:rPr>
                <w:rFonts w:hint="default" w:ascii="Times New Roman" w:hAnsi="Times New Roman" w:eastAsia="宋体" w:cs="Times New Roman"/>
                <w:i w:val="0"/>
                <w:iCs w:val="0"/>
                <w:color w:val="000000"/>
                <w:sz w:val="16"/>
                <w:szCs w:val="16"/>
                <w:highlight w:val="none"/>
                <w:u w:val="none"/>
              </w:rPr>
              <w:t>自治县交通运输局贯彻落实党中央、国务院和自治区党委、人民政府、自治州党委、人民政府关于交通运输工作的方针政策和决策部署以及县党委、人民政府工作要求，在履行职责过程中坚持和加强党对交通运输工作的集中统一领导。指导城乡客运及有关设施规划、管理和出租汽车行业管理，承担渔业船舶的检验和监督管理工作。交通运输各项业务的规划和管理，综合交通运输管理体制的要求，做好统筹规划，合理规划交通基础设施，做到便捷，发挥交通运输方式组合效率和整体优化。保障国家成品油价格和税费改革顺利实施企业承担社会公益义务，切实解决企业经营负担，减轻地方财政压力，方便各族人民群众的出行，2025农村道路养护资金103万元，依据巴财建【2024】134号，安装标识标牌25个，农村公路修补6000 平方米,农村公路补画5000平方米,公路养护103公里，农村公路养护管理水平明显提升，建设材料必须符合环评要求100%，改善通行服务水平群众满意度90%。</w:t>
            </w:r>
          </w:p>
          <w:p>
            <w:pPr>
              <w:keepNext w:val="0"/>
              <w:keepLines w:val="0"/>
              <w:widowControl/>
              <w:suppressLineNumbers w:val="0"/>
              <w:ind w:firstLine="320" w:firstLineChars="200"/>
              <w:jc w:val="left"/>
              <w:textAlignment w:val="center"/>
              <w:rPr>
                <w:rFonts w:hint="default" w:cs="Times New Roman"/>
                <w:i w:val="0"/>
                <w:iCs w:val="0"/>
                <w:color w:val="000000"/>
                <w:sz w:val="16"/>
                <w:szCs w:val="16"/>
                <w:highlight w:val="none"/>
                <w:u w:val="none"/>
                <w:lang w:eastAsia="zh-CN"/>
              </w:rPr>
            </w:pPr>
            <w:r>
              <w:rPr>
                <w:rFonts w:hint="default" w:cs="Times New Roman"/>
                <w:i w:val="0"/>
                <w:iCs w:val="0"/>
                <w:color w:val="000000"/>
                <w:sz w:val="16"/>
                <w:szCs w:val="16"/>
                <w:highlight w:val="none"/>
                <w:u w:val="none"/>
                <w:lang w:eastAsia="zh-CN"/>
              </w:rPr>
              <w:t>2025年“以奖代补”切块资金改造永宁镇至新户村、永宁镇至博湖县等农村道路2条,建设道路长度15.55公里，2025年车购税资金1159.20万元，依据巴财建【2024】143号，项目建成后可有效解决该村农牧民群众出行不便问题，有效改善了农民群众出行条件，受益群体满意度95%。</w:t>
            </w:r>
          </w:p>
          <w:p>
            <w:pPr>
              <w:keepNext w:val="0"/>
              <w:keepLines w:val="0"/>
              <w:widowControl/>
              <w:suppressLineNumbers w:val="0"/>
              <w:ind w:firstLine="320" w:firstLineChars="200"/>
              <w:jc w:val="left"/>
              <w:textAlignment w:val="center"/>
              <w:rPr>
                <w:rFonts w:hint="default" w:cs="Times New Roman"/>
                <w:i w:val="0"/>
                <w:iCs w:val="0"/>
                <w:color w:val="000000"/>
                <w:sz w:val="16"/>
                <w:szCs w:val="16"/>
                <w:highlight w:val="none"/>
                <w:u w:val="none"/>
                <w:lang w:eastAsia="zh-CN"/>
              </w:rPr>
            </w:pPr>
            <w:r>
              <w:rPr>
                <w:rFonts w:hint="default" w:cs="Times New Roman"/>
                <w:i w:val="0"/>
                <w:iCs w:val="0"/>
                <w:color w:val="000000"/>
                <w:sz w:val="16"/>
                <w:szCs w:val="16"/>
                <w:highlight w:val="none"/>
                <w:u w:val="none"/>
                <w:lang w:eastAsia="zh-CN"/>
              </w:rPr>
              <w:t>改造永宁镇至马莲滩村、北大渠乡至十号渠村4组、霍拉山村至乃明莫墩村等农村道路3条,2025年补助资金517.25万元，依据巴财建【2024】141号。项目建成后可有效解决该村农牧民群众出行不便问题，有效改善了农民群众出行条件，受益群体满意度95%。</w:t>
            </w:r>
          </w:p>
          <w:p>
            <w:pPr>
              <w:keepNext w:val="0"/>
              <w:keepLines w:val="0"/>
              <w:widowControl/>
              <w:suppressLineNumbers w:val="0"/>
              <w:ind w:firstLine="32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cs="Times New Roman"/>
                <w:i w:val="0"/>
                <w:iCs w:val="0"/>
                <w:color w:val="000000"/>
                <w:sz w:val="16"/>
                <w:szCs w:val="16"/>
                <w:highlight w:val="none"/>
                <w:u w:val="none"/>
                <w:lang w:eastAsia="zh-CN"/>
              </w:rPr>
              <w:t>补助城市公车3辆，农村客运补贴75辆，农村客运班车代运线路13条，发放方式1次性发放，客货运输服务水平明显提高，收益人满意度达到95%。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eastAsia" w:cs="Times New Roman"/>
                <w:i w:val="0"/>
                <w:iCs w:val="0"/>
                <w:color w:val="000000" w:themeColor="text1"/>
                <w:sz w:val="20"/>
                <w:szCs w:val="20"/>
                <w:highlight w:val="none"/>
                <w:u w:val="none"/>
                <w:lang w:val="en-US" w:eastAsia="zh-CN"/>
                <w14:textFill>
                  <w14:solidFill>
                    <w14:schemeClr w14:val="tx1"/>
                  </w14:solidFill>
                </w14:textFill>
              </w:rPr>
              <w:t>1779.55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eastAsia" w:cs="Times New Roman"/>
                <w:i w:val="0"/>
                <w:iCs w:val="0"/>
                <w:color w:val="000000" w:themeColor="text1"/>
                <w:sz w:val="20"/>
                <w:szCs w:val="20"/>
                <w:highlight w:val="none"/>
                <w:u w:val="none"/>
                <w:lang w:val="en-US" w:eastAsia="zh-CN"/>
                <w14:textFill>
                  <w14:solidFill>
                    <w14:schemeClr w14:val="tx1"/>
                  </w14:solidFill>
                </w14:textFill>
              </w:rPr>
              <w:t>478.02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农村公路建设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w:t>
            </w:r>
            <w:r>
              <w:rPr>
                <w:rFonts w:hint="eastAsia" w:cs="Times New Roman"/>
                <w:i w:val="0"/>
                <w:iCs w:val="0"/>
                <w:color w:val="000000"/>
                <w:sz w:val="20"/>
                <w:szCs w:val="20"/>
                <w:highlight w:val="none"/>
                <w:u w:val="none"/>
                <w:lang w:val="en-US" w:eastAsia="zh-CN"/>
              </w:rPr>
              <w:t>15.55</w:t>
            </w:r>
            <w:r>
              <w:rPr>
                <w:rFonts w:hint="default" w:ascii="Times New Roman" w:hAnsi="Times New Roman" w:eastAsia="宋体" w:cs="Times New Roman"/>
                <w:i w:val="0"/>
                <w:iCs w:val="0"/>
                <w:color w:val="000000"/>
                <w:sz w:val="20"/>
                <w:szCs w:val="20"/>
                <w:highlight w:val="none"/>
                <w:u w:val="none"/>
              </w:rPr>
              <w:t>公里</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农村客运车代运线路</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sz w:val="20"/>
                <w:szCs w:val="20"/>
                <w:highlight w:val="none"/>
                <w:u w:val="none"/>
              </w:rPr>
              <w:t>&gt;=</w:t>
            </w:r>
            <w:r>
              <w:rPr>
                <w:rFonts w:hint="default" w:ascii="Times New Roman" w:hAnsi="Times New Roman" w:cs="Times New Roman"/>
                <w:i w:val="0"/>
                <w:iCs w:val="0"/>
                <w:color w:val="000000"/>
                <w:sz w:val="20"/>
                <w:szCs w:val="20"/>
                <w:highlight w:val="none"/>
                <w:u w:val="none"/>
                <w:lang w:val="en-US" w:eastAsia="zh-CN"/>
              </w:rPr>
              <w:t>13条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保障全年日常公路养护总里程</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sz w:val="20"/>
                <w:szCs w:val="20"/>
                <w:highlight w:val="none"/>
                <w:u w:val="none"/>
              </w:rPr>
              <w:t>&gt;=</w:t>
            </w:r>
            <w:r>
              <w:rPr>
                <w:rFonts w:hint="default" w:ascii="Times New Roman" w:hAnsi="Times New Roman" w:cs="Times New Roman"/>
                <w:i w:val="0"/>
                <w:iCs w:val="0"/>
                <w:color w:val="000000"/>
                <w:sz w:val="20"/>
                <w:szCs w:val="20"/>
                <w:highlight w:val="none"/>
                <w:u w:val="none"/>
                <w:lang w:val="en-US" w:eastAsia="zh-CN"/>
              </w:rPr>
              <w:t>10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eastAsia="楷体_GB2312" w:cs="Times New Roman"/>
          <w:b/>
          <w:kern w:val="0"/>
          <w:sz w:val="32"/>
          <w:szCs w:val="32"/>
          <w:highlight w:val="none"/>
          <w:lang w:val="en-US" w:eastAsia="zh-CN"/>
        </w:rPr>
      </w:pPr>
      <w:r>
        <w:rPr>
          <w:rFonts w:hint="eastAsia" w:eastAsia="楷体_GB2312" w:cs="Times New Roman"/>
          <w:b/>
          <w:kern w:val="0"/>
          <w:sz w:val="32"/>
          <w:szCs w:val="32"/>
          <w:highlight w:val="none"/>
          <w:lang w:val="en-US" w:eastAsia="zh-CN"/>
        </w:rPr>
        <w:t xml:space="preserve">    </w:t>
      </w:r>
    </w:p>
    <w:tbl>
      <w:tblPr>
        <w:tblStyle w:val="10"/>
        <w:tblpPr w:leftFromText="180" w:rightFromText="180" w:vertAnchor="text" w:horzAnchor="page" w:tblpX="1103" w:tblpY="515"/>
        <w:tblOverlap w:val="never"/>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021"/>
        <w:gridCol w:w="1691"/>
        <w:gridCol w:w="1173"/>
        <w:gridCol w:w="1044"/>
        <w:gridCol w:w="813"/>
        <w:gridCol w:w="876"/>
        <w:gridCol w:w="1018"/>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709"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09"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87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2025年中央对地方成品油税费改革转移支付资金用于农村公路养护项目</w:t>
            </w:r>
          </w:p>
        </w:tc>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何炜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103</w:t>
            </w:r>
          </w:p>
        </w:tc>
        <w:tc>
          <w:tcPr>
            <w:tcW w:w="104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103</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877"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完成安装标识标牌25个、农村油面修补6000平米、农村公路补画路面5000平米，公路养护里程103千米，完成项目后提高农村公路养护管理水平和改善群众通行水平满意度</w:t>
            </w:r>
            <w:r>
              <w:rPr>
                <w:rFonts w:hint="eastAsia" w:ascii="宋体" w:hAnsi="宋体" w:cs="宋体"/>
                <w:i w:val="0"/>
                <w:iCs w:val="0"/>
                <w:color w:val="000000"/>
                <w:sz w:val="18"/>
                <w:szCs w:val="1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安装标识标牌</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&gt;=25个</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农村公路面油面修补面积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&gt;=6000平方米</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农村公路补画路面面积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&gt;=5000平方米</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公路养护里程</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&gt;=103千米</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公路养护工程质量达标率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&gt;=97%</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安装标识标牌质量合格率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安装标识标牌及时率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1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农村公路修补及时率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5</w:t>
            </w:r>
          </w:p>
        </w:tc>
        <w:tc>
          <w:tcPr>
            <w:tcW w:w="10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安装标识标牌成本</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&lt;=15万元</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农村公路面油面修补</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&lt;=60万元</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农村公路补画路面成本</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&lt;=20万元</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提高农村公路养护管理水平</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明显提升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按评判等级赋分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交通建设符合环评审批要求</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改善服务水平满意度</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按评判等级赋分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改善通行服务水平群众满意度</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工作资料</w:t>
            </w:r>
          </w:p>
        </w:tc>
      </w:tr>
    </w:tbl>
    <w:p/>
    <w:tbl>
      <w:tblPr>
        <w:tblStyle w:val="10"/>
        <w:tblpPr w:leftFromText="180" w:rightFromText="180" w:vertAnchor="text" w:horzAnchor="page" w:tblpX="1103" w:tblpY="515"/>
        <w:tblOverlap w:val="never"/>
        <w:tblW w:w="9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
        <w:gridCol w:w="1191"/>
        <w:gridCol w:w="1298"/>
        <w:gridCol w:w="1367"/>
        <w:gridCol w:w="1080"/>
        <w:gridCol w:w="990"/>
        <w:gridCol w:w="752"/>
        <w:gridCol w:w="1020"/>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63"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63"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56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改造农村公路永宁镇至博湖县、永宁镇至新户村等项目建设</w:t>
            </w:r>
          </w:p>
        </w:tc>
        <w:tc>
          <w:tcPr>
            <w:tcW w:w="1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7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何炜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1159.2</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1159.2</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7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566"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20"/>
                <w:szCs w:val="20"/>
                <w:highlight w:val="none"/>
                <w:u w:val="none"/>
              </w:rPr>
              <w:t>永宁镇至新户村、永宁镇至博湖县等道路基础设施改造项目2条，建设道路15.55公里。项目建成后可有效解决该村农牧民群众出行不便问题，改善了农民群众出行条件，大力提升群众满意度。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0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改造工程量</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&gt;=15.55公里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0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改造工程数量</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&gt;=2条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竣工验收合格率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项目资金支付率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项目按计划开工及时率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行业标准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项目按时计划及时率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项目预算控制率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经济效益指标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改善农牧民出行条件</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有效改善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按评判等级赋分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受益群体满意度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满意度赋分</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bl>
    <w:p/>
    <w:p>
      <w:pPr>
        <w:pStyle w:val="2"/>
      </w:pPr>
    </w:p>
    <w:p>
      <w:pPr>
        <w:pStyle w:val="2"/>
      </w:pPr>
    </w:p>
    <w:p>
      <w:pPr>
        <w:pStyle w:val="2"/>
      </w:pPr>
    </w:p>
    <w:p>
      <w:pPr>
        <w:pStyle w:val="2"/>
      </w:pPr>
    </w:p>
    <w:p>
      <w:pPr>
        <w:pStyle w:val="2"/>
      </w:pPr>
    </w:p>
    <w:p>
      <w:pPr>
        <w:pStyle w:val="2"/>
      </w:pPr>
    </w:p>
    <w:tbl>
      <w:tblPr>
        <w:tblStyle w:val="10"/>
        <w:tblpPr w:leftFromText="180" w:rightFromText="180" w:vertAnchor="text" w:horzAnchor="page" w:tblpX="978" w:tblpY="515"/>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
        <w:gridCol w:w="1189"/>
        <w:gridCol w:w="1774"/>
        <w:gridCol w:w="1067"/>
        <w:gridCol w:w="1160"/>
        <w:gridCol w:w="907"/>
        <w:gridCol w:w="933"/>
        <w:gridCol w:w="11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20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0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焉耆回族自治县交通运输局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00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2025年农村公路养护工程项目（永宁镇-马莲潭村3组、北大渠乡-十号渠村4组、霍拉山村-乃明莫顿村）</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何炜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517.25</w:t>
            </w:r>
          </w:p>
        </w:tc>
        <w:tc>
          <w:tcPr>
            <w:tcW w:w="11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517.25</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081"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永宁镇至马莲潭村、北大渠乡至十号渠村、霍拉山至乃明莫顿村等道路基础设施改造项目3条，整治农村公路平交道口590处，建设道路18.33公里。项目建成后可有效解决该村农牧民群众出行不便问题，改善了农民群众出行条件，大力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11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改造工程量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&gt;=18.33公里</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改造工程数量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&gt;=3条</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整治农村公路平交道口隐患</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&gt;=590处</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项目资金支付率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竣工验收合格率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项目设计变更率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项目按时计划及时率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项目按计划开工及时率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经济成本指标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项目预算控制率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改善农牧民出行条件</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有效改善</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受益群体满意度</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满意度赋分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ascii="Times New Roman" w:hAnsi="Times New Roman" w:eastAsia="楷体_GB2312" w:cs="Times New Roman"/>
          <w:b/>
          <w:kern w:val="0"/>
          <w:sz w:val="32"/>
          <w:szCs w:val="32"/>
          <w:highlight w:val="none"/>
          <w:lang w:eastAsia="zh-CN"/>
        </w:rPr>
        <w:t>（五）</w:t>
      </w:r>
      <w:r>
        <w:rPr>
          <w:rFonts w:hint="default" w:ascii="Times New Roman" w:hAnsi="Times New Roman" w:eastAsia="楷体_GB2312" w:cs="Times New Roman"/>
          <w:b/>
          <w:kern w:val="0"/>
          <w:sz w:val="32"/>
          <w:szCs w:val="32"/>
          <w:highlight w:val="none"/>
        </w:rPr>
        <w:t>其他需说明的事项</w:t>
      </w:r>
    </w:p>
    <w:p>
      <w:pPr>
        <w:pStyle w:val="2"/>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eastAsia="zh-CN"/>
        </w:rPr>
        <w:t>本单位无其他需说明事项。</w:t>
      </w: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eastAsia="zh-Hans"/>
        </w:rPr>
        <w:t>各</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公务用车购置反映基本建设支出中安排机关和参公事业单位用于公务用车购置的支出（含车辆购置税、牌照费）；</w:t>
      </w:r>
      <w:r>
        <w:rPr>
          <w:rFonts w:hint="default" w:ascii="Times New Roman" w:hAnsi="Times New Roman" w:eastAsia="仿宋_GB2312" w:cs="Times New Roman"/>
          <w:sz w:val="32"/>
          <w:szCs w:val="32"/>
          <w:highlight w:val="none"/>
        </w:rPr>
        <w:t>公务用车运行维护费反映单</w:t>
      </w:r>
      <w:r>
        <w:rPr>
          <w:rFonts w:hint="default" w:ascii="Times New Roman" w:hAnsi="Times New Roman" w:eastAsia="仿宋_GB2312" w:cs="Times New Roman"/>
          <w:sz w:val="32"/>
          <w:szCs w:val="32"/>
          <w:highlight w:val="none"/>
          <w:lang w:val="en-US" w:eastAsia="zh-CN"/>
        </w:rPr>
        <w:t>机关和参公事业单位按规定保留的公务用车燃料费、维修费、过桥过路费、保险费、安全奖励费用等支出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left="5758" w:leftChars="304" w:hanging="5120" w:hangingChars="16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eastAsia="zh-CN"/>
        </w:rPr>
        <w:t>焉耆</w:t>
      </w:r>
      <w:r>
        <w:rPr>
          <w:rFonts w:hint="eastAsia" w:ascii="Times New Roman" w:hAnsi="Times New Roman" w:eastAsia="仿宋_GB2312" w:cs="Times New Roman"/>
          <w:kern w:val="0"/>
          <w:sz w:val="32"/>
          <w:szCs w:val="32"/>
          <w:highlight w:val="none"/>
          <w:lang w:val="en-US" w:eastAsia="zh-CN"/>
        </w:rPr>
        <w:t>回族自治</w:t>
      </w:r>
      <w:r>
        <w:rPr>
          <w:rFonts w:hint="default" w:ascii="Times New Roman" w:hAnsi="Times New Roman" w:eastAsia="仿宋_GB2312" w:cs="Times New Roman"/>
          <w:kern w:val="0"/>
          <w:sz w:val="32"/>
          <w:szCs w:val="32"/>
          <w:highlight w:val="none"/>
          <w:lang w:eastAsia="zh-CN"/>
        </w:rPr>
        <w:t>县交通运输局</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eastAsia"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MTIyMzYwMDVlODFlZThkODgyODU0YjUyODE5MDgifQ=="/>
  </w:docVars>
  <w:rsids>
    <w:rsidRoot w:val="10587512"/>
    <w:rsid w:val="003F1297"/>
    <w:rsid w:val="00605A8D"/>
    <w:rsid w:val="008806FB"/>
    <w:rsid w:val="009F5A03"/>
    <w:rsid w:val="00DC34AF"/>
    <w:rsid w:val="01171BC5"/>
    <w:rsid w:val="012509B8"/>
    <w:rsid w:val="01264192"/>
    <w:rsid w:val="01265D4D"/>
    <w:rsid w:val="013D7BAF"/>
    <w:rsid w:val="015D217E"/>
    <w:rsid w:val="01814BFB"/>
    <w:rsid w:val="01945A6B"/>
    <w:rsid w:val="01E22FCA"/>
    <w:rsid w:val="021952AB"/>
    <w:rsid w:val="02732E4D"/>
    <w:rsid w:val="027C79EC"/>
    <w:rsid w:val="02822580"/>
    <w:rsid w:val="028535B4"/>
    <w:rsid w:val="02D37A59"/>
    <w:rsid w:val="02FC481F"/>
    <w:rsid w:val="03A103F5"/>
    <w:rsid w:val="03A15BC9"/>
    <w:rsid w:val="03FD36E6"/>
    <w:rsid w:val="041B4DB5"/>
    <w:rsid w:val="04267B2D"/>
    <w:rsid w:val="04342839"/>
    <w:rsid w:val="04404122"/>
    <w:rsid w:val="044E743A"/>
    <w:rsid w:val="04B5048D"/>
    <w:rsid w:val="05013111"/>
    <w:rsid w:val="050B642E"/>
    <w:rsid w:val="05341A98"/>
    <w:rsid w:val="05397FD9"/>
    <w:rsid w:val="054A6E09"/>
    <w:rsid w:val="05522D66"/>
    <w:rsid w:val="05552C36"/>
    <w:rsid w:val="055A08AF"/>
    <w:rsid w:val="055B5A74"/>
    <w:rsid w:val="05635A73"/>
    <w:rsid w:val="05ED22A6"/>
    <w:rsid w:val="06105EB3"/>
    <w:rsid w:val="06B27FA5"/>
    <w:rsid w:val="06ED4367"/>
    <w:rsid w:val="06F645DD"/>
    <w:rsid w:val="070E6657"/>
    <w:rsid w:val="073E257E"/>
    <w:rsid w:val="076671B9"/>
    <w:rsid w:val="076F5873"/>
    <w:rsid w:val="083E15AE"/>
    <w:rsid w:val="08450B28"/>
    <w:rsid w:val="087D62E7"/>
    <w:rsid w:val="08BF1471"/>
    <w:rsid w:val="08F3718F"/>
    <w:rsid w:val="09033DE5"/>
    <w:rsid w:val="09714FBD"/>
    <w:rsid w:val="09804474"/>
    <w:rsid w:val="099A5A95"/>
    <w:rsid w:val="09AE22AA"/>
    <w:rsid w:val="09B6744D"/>
    <w:rsid w:val="09BD6A00"/>
    <w:rsid w:val="0A352C9F"/>
    <w:rsid w:val="0A567191"/>
    <w:rsid w:val="0A72243F"/>
    <w:rsid w:val="0A8C106E"/>
    <w:rsid w:val="0A9825B0"/>
    <w:rsid w:val="0AB763A0"/>
    <w:rsid w:val="0AF77B9C"/>
    <w:rsid w:val="0B247F12"/>
    <w:rsid w:val="0B6070E4"/>
    <w:rsid w:val="0B99012E"/>
    <w:rsid w:val="0BAC1206"/>
    <w:rsid w:val="0BD663D2"/>
    <w:rsid w:val="0BE92617"/>
    <w:rsid w:val="0C054516"/>
    <w:rsid w:val="0C2244D6"/>
    <w:rsid w:val="0C2B5D4F"/>
    <w:rsid w:val="0CB12A2F"/>
    <w:rsid w:val="0CC734DC"/>
    <w:rsid w:val="0CEF6971"/>
    <w:rsid w:val="0D272610"/>
    <w:rsid w:val="0D51785C"/>
    <w:rsid w:val="0D6E5FD0"/>
    <w:rsid w:val="0D836B4C"/>
    <w:rsid w:val="0D865D5F"/>
    <w:rsid w:val="0D982BAC"/>
    <w:rsid w:val="0D9A13F4"/>
    <w:rsid w:val="0DF92F11"/>
    <w:rsid w:val="0E9208E7"/>
    <w:rsid w:val="0FA03B40"/>
    <w:rsid w:val="0FE90BAB"/>
    <w:rsid w:val="101700AF"/>
    <w:rsid w:val="10193306"/>
    <w:rsid w:val="105269B8"/>
    <w:rsid w:val="10587512"/>
    <w:rsid w:val="10916BDA"/>
    <w:rsid w:val="109B6C42"/>
    <w:rsid w:val="115758B1"/>
    <w:rsid w:val="11A641AA"/>
    <w:rsid w:val="120D27DD"/>
    <w:rsid w:val="121B04CB"/>
    <w:rsid w:val="12363A4F"/>
    <w:rsid w:val="12743F94"/>
    <w:rsid w:val="129F2E21"/>
    <w:rsid w:val="13444EDA"/>
    <w:rsid w:val="1344537E"/>
    <w:rsid w:val="13596590"/>
    <w:rsid w:val="137B18C7"/>
    <w:rsid w:val="13833A7B"/>
    <w:rsid w:val="14200520"/>
    <w:rsid w:val="142A00D7"/>
    <w:rsid w:val="148D6DDC"/>
    <w:rsid w:val="14C16865"/>
    <w:rsid w:val="14E14408"/>
    <w:rsid w:val="15170610"/>
    <w:rsid w:val="15B52A91"/>
    <w:rsid w:val="15C33BC1"/>
    <w:rsid w:val="15CC5C64"/>
    <w:rsid w:val="16070505"/>
    <w:rsid w:val="16075F7F"/>
    <w:rsid w:val="16162E63"/>
    <w:rsid w:val="163426E7"/>
    <w:rsid w:val="163D09C5"/>
    <w:rsid w:val="1697741D"/>
    <w:rsid w:val="16CB7545"/>
    <w:rsid w:val="16F413C5"/>
    <w:rsid w:val="171361AB"/>
    <w:rsid w:val="173B3F28"/>
    <w:rsid w:val="174F0614"/>
    <w:rsid w:val="17802C68"/>
    <w:rsid w:val="17CA052A"/>
    <w:rsid w:val="17EB6058"/>
    <w:rsid w:val="18383F6D"/>
    <w:rsid w:val="187E6D82"/>
    <w:rsid w:val="188A2F57"/>
    <w:rsid w:val="189D1AA1"/>
    <w:rsid w:val="18E90076"/>
    <w:rsid w:val="19713E5E"/>
    <w:rsid w:val="19847B6F"/>
    <w:rsid w:val="19E30EEF"/>
    <w:rsid w:val="19EB75A5"/>
    <w:rsid w:val="19F21C3D"/>
    <w:rsid w:val="1A085ABE"/>
    <w:rsid w:val="1A235E0F"/>
    <w:rsid w:val="1A285BF5"/>
    <w:rsid w:val="1A4B326D"/>
    <w:rsid w:val="1A572824"/>
    <w:rsid w:val="1A6544A9"/>
    <w:rsid w:val="1B237D94"/>
    <w:rsid w:val="1B4D0621"/>
    <w:rsid w:val="1B757CBC"/>
    <w:rsid w:val="1BA0761F"/>
    <w:rsid w:val="1BA62F0B"/>
    <w:rsid w:val="1BAB31EF"/>
    <w:rsid w:val="1BC40319"/>
    <w:rsid w:val="1BD16906"/>
    <w:rsid w:val="1BEB54C3"/>
    <w:rsid w:val="1BF060DD"/>
    <w:rsid w:val="1BF5257C"/>
    <w:rsid w:val="1C0768E1"/>
    <w:rsid w:val="1C3C6084"/>
    <w:rsid w:val="1C7170A1"/>
    <w:rsid w:val="1C8A0D1E"/>
    <w:rsid w:val="1CA56B87"/>
    <w:rsid w:val="1CB54516"/>
    <w:rsid w:val="1CBF75B2"/>
    <w:rsid w:val="1CEA7DE7"/>
    <w:rsid w:val="1D3E1AFE"/>
    <w:rsid w:val="1D6B6CEA"/>
    <w:rsid w:val="1D7144F0"/>
    <w:rsid w:val="1D984454"/>
    <w:rsid w:val="1D9D61BB"/>
    <w:rsid w:val="1D9E7407"/>
    <w:rsid w:val="1E0D0ABF"/>
    <w:rsid w:val="1EAD7864"/>
    <w:rsid w:val="1EB61656"/>
    <w:rsid w:val="1EF45253"/>
    <w:rsid w:val="1EFE16BC"/>
    <w:rsid w:val="1F11202E"/>
    <w:rsid w:val="1F195A19"/>
    <w:rsid w:val="1F527A0C"/>
    <w:rsid w:val="1FCF60C9"/>
    <w:rsid w:val="203044C0"/>
    <w:rsid w:val="203F7AD4"/>
    <w:rsid w:val="207B02C4"/>
    <w:rsid w:val="208C58F0"/>
    <w:rsid w:val="209B79C4"/>
    <w:rsid w:val="20A67754"/>
    <w:rsid w:val="20BB1845"/>
    <w:rsid w:val="20D947E7"/>
    <w:rsid w:val="20DD55C0"/>
    <w:rsid w:val="210850D4"/>
    <w:rsid w:val="211C37E0"/>
    <w:rsid w:val="21B5765C"/>
    <w:rsid w:val="22301275"/>
    <w:rsid w:val="22590CF0"/>
    <w:rsid w:val="22B36C09"/>
    <w:rsid w:val="22DB78DD"/>
    <w:rsid w:val="23105B71"/>
    <w:rsid w:val="23927B14"/>
    <w:rsid w:val="23CB053E"/>
    <w:rsid w:val="23CB6BDB"/>
    <w:rsid w:val="23DC620B"/>
    <w:rsid w:val="241C44CB"/>
    <w:rsid w:val="244D65B8"/>
    <w:rsid w:val="247B1B58"/>
    <w:rsid w:val="2492221D"/>
    <w:rsid w:val="24A273D0"/>
    <w:rsid w:val="24B659BD"/>
    <w:rsid w:val="25124D8A"/>
    <w:rsid w:val="252717A4"/>
    <w:rsid w:val="253124BF"/>
    <w:rsid w:val="253A382A"/>
    <w:rsid w:val="254913C3"/>
    <w:rsid w:val="25A62FF9"/>
    <w:rsid w:val="26010672"/>
    <w:rsid w:val="26134B93"/>
    <w:rsid w:val="266B7025"/>
    <w:rsid w:val="26B4291F"/>
    <w:rsid w:val="26D07679"/>
    <w:rsid w:val="26E769FA"/>
    <w:rsid w:val="27084DC7"/>
    <w:rsid w:val="271870ED"/>
    <w:rsid w:val="277B7AAE"/>
    <w:rsid w:val="27816802"/>
    <w:rsid w:val="2796566F"/>
    <w:rsid w:val="27BD0AB9"/>
    <w:rsid w:val="27C11148"/>
    <w:rsid w:val="27F101CC"/>
    <w:rsid w:val="280748CB"/>
    <w:rsid w:val="28584BF9"/>
    <w:rsid w:val="286C259F"/>
    <w:rsid w:val="287C1CF6"/>
    <w:rsid w:val="289727AD"/>
    <w:rsid w:val="28B76E95"/>
    <w:rsid w:val="28BF2B1C"/>
    <w:rsid w:val="28E51B2E"/>
    <w:rsid w:val="28EC1E3F"/>
    <w:rsid w:val="2910126C"/>
    <w:rsid w:val="29342013"/>
    <w:rsid w:val="293B2E83"/>
    <w:rsid w:val="29527C4B"/>
    <w:rsid w:val="296E20E1"/>
    <w:rsid w:val="29D42954"/>
    <w:rsid w:val="2A202056"/>
    <w:rsid w:val="2A4452CA"/>
    <w:rsid w:val="2A5832D4"/>
    <w:rsid w:val="2A7E5048"/>
    <w:rsid w:val="2AA571D7"/>
    <w:rsid w:val="2AD078C6"/>
    <w:rsid w:val="2AE72547"/>
    <w:rsid w:val="2AEE26E1"/>
    <w:rsid w:val="2AFC4894"/>
    <w:rsid w:val="2B1070F3"/>
    <w:rsid w:val="2B496608"/>
    <w:rsid w:val="2B4C37A1"/>
    <w:rsid w:val="2C2E16EB"/>
    <w:rsid w:val="2C58734D"/>
    <w:rsid w:val="2C7174A0"/>
    <w:rsid w:val="2C8F1485"/>
    <w:rsid w:val="2D190459"/>
    <w:rsid w:val="2D480265"/>
    <w:rsid w:val="2D787FAB"/>
    <w:rsid w:val="2D977453"/>
    <w:rsid w:val="2DEC2AE2"/>
    <w:rsid w:val="2E213759"/>
    <w:rsid w:val="2E3A1A7D"/>
    <w:rsid w:val="2EB7454E"/>
    <w:rsid w:val="2EBE357C"/>
    <w:rsid w:val="2EC515ED"/>
    <w:rsid w:val="2EE07CDC"/>
    <w:rsid w:val="2EF22236"/>
    <w:rsid w:val="2EF82079"/>
    <w:rsid w:val="2F2A300F"/>
    <w:rsid w:val="2FB7154B"/>
    <w:rsid w:val="2FC900BF"/>
    <w:rsid w:val="2FE25E7D"/>
    <w:rsid w:val="30241C64"/>
    <w:rsid w:val="304748A7"/>
    <w:rsid w:val="306C0986"/>
    <w:rsid w:val="31356C20"/>
    <w:rsid w:val="314F186D"/>
    <w:rsid w:val="319B5985"/>
    <w:rsid w:val="31BF0CB4"/>
    <w:rsid w:val="31E06B81"/>
    <w:rsid w:val="325532D0"/>
    <w:rsid w:val="325D1BFC"/>
    <w:rsid w:val="3292005B"/>
    <w:rsid w:val="32BB7A2C"/>
    <w:rsid w:val="32C7755C"/>
    <w:rsid w:val="32DE110A"/>
    <w:rsid w:val="33175288"/>
    <w:rsid w:val="33342D89"/>
    <w:rsid w:val="3342784B"/>
    <w:rsid w:val="33CC15DC"/>
    <w:rsid w:val="33D37462"/>
    <w:rsid w:val="33F87293"/>
    <w:rsid w:val="3404257E"/>
    <w:rsid w:val="343C4318"/>
    <w:rsid w:val="343E3D6B"/>
    <w:rsid w:val="344578DD"/>
    <w:rsid w:val="3491604D"/>
    <w:rsid w:val="349806E6"/>
    <w:rsid w:val="34F45FB6"/>
    <w:rsid w:val="35015B5D"/>
    <w:rsid w:val="35051199"/>
    <w:rsid w:val="356F0ECB"/>
    <w:rsid w:val="3575655D"/>
    <w:rsid w:val="357F5B63"/>
    <w:rsid w:val="35B90465"/>
    <w:rsid w:val="35C173FA"/>
    <w:rsid w:val="362A1B80"/>
    <w:rsid w:val="364D3D6D"/>
    <w:rsid w:val="36532CDB"/>
    <w:rsid w:val="36723A89"/>
    <w:rsid w:val="3679628E"/>
    <w:rsid w:val="367C5419"/>
    <w:rsid w:val="36D8394F"/>
    <w:rsid w:val="36D9401D"/>
    <w:rsid w:val="370973DF"/>
    <w:rsid w:val="371350CC"/>
    <w:rsid w:val="373608F6"/>
    <w:rsid w:val="374C2D0D"/>
    <w:rsid w:val="375926BC"/>
    <w:rsid w:val="380D66D0"/>
    <w:rsid w:val="3862023B"/>
    <w:rsid w:val="389D08CB"/>
    <w:rsid w:val="38CC728B"/>
    <w:rsid w:val="39421D4D"/>
    <w:rsid w:val="395A192E"/>
    <w:rsid w:val="39A25CFA"/>
    <w:rsid w:val="39D26998"/>
    <w:rsid w:val="39F31477"/>
    <w:rsid w:val="3A042143"/>
    <w:rsid w:val="3A162CE0"/>
    <w:rsid w:val="3A1B09B0"/>
    <w:rsid w:val="3A965380"/>
    <w:rsid w:val="3AB112F7"/>
    <w:rsid w:val="3AB21252"/>
    <w:rsid w:val="3AB75198"/>
    <w:rsid w:val="3AC52678"/>
    <w:rsid w:val="3AD876BA"/>
    <w:rsid w:val="3B047361"/>
    <w:rsid w:val="3B31610F"/>
    <w:rsid w:val="3B8C54CE"/>
    <w:rsid w:val="3BAF1E8B"/>
    <w:rsid w:val="3BB03A56"/>
    <w:rsid w:val="3BF23776"/>
    <w:rsid w:val="3BF72E35"/>
    <w:rsid w:val="3C1A46CF"/>
    <w:rsid w:val="3C5D301D"/>
    <w:rsid w:val="3CDC791C"/>
    <w:rsid w:val="3CFA52AC"/>
    <w:rsid w:val="3D506A1C"/>
    <w:rsid w:val="3D685E65"/>
    <w:rsid w:val="3D7D0457"/>
    <w:rsid w:val="3D7E67C9"/>
    <w:rsid w:val="3DA35098"/>
    <w:rsid w:val="3DD32964"/>
    <w:rsid w:val="3DF92937"/>
    <w:rsid w:val="3E311E6E"/>
    <w:rsid w:val="3E4405D4"/>
    <w:rsid w:val="3E9F70D8"/>
    <w:rsid w:val="3EB369F0"/>
    <w:rsid w:val="3EE22A60"/>
    <w:rsid w:val="3F107FCB"/>
    <w:rsid w:val="3F1A21D1"/>
    <w:rsid w:val="3F2374FA"/>
    <w:rsid w:val="3F2635BF"/>
    <w:rsid w:val="3F5D0D3A"/>
    <w:rsid w:val="3F6D2F66"/>
    <w:rsid w:val="3FDA4CE1"/>
    <w:rsid w:val="3FDF4D23"/>
    <w:rsid w:val="401443A0"/>
    <w:rsid w:val="404021D9"/>
    <w:rsid w:val="40DD691B"/>
    <w:rsid w:val="41034CC7"/>
    <w:rsid w:val="41044A27"/>
    <w:rsid w:val="418872ED"/>
    <w:rsid w:val="419C35A9"/>
    <w:rsid w:val="41BC6CED"/>
    <w:rsid w:val="41C94B62"/>
    <w:rsid w:val="41D81AD5"/>
    <w:rsid w:val="41EF4310"/>
    <w:rsid w:val="421D2F4A"/>
    <w:rsid w:val="42250DCC"/>
    <w:rsid w:val="42301408"/>
    <w:rsid w:val="42421AB1"/>
    <w:rsid w:val="426B624C"/>
    <w:rsid w:val="42B92A7B"/>
    <w:rsid w:val="42C20AC7"/>
    <w:rsid w:val="42EB3579"/>
    <w:rsid w:val="431E2306"/>
    <w:rsid w:val="43241938"/>
    <w:rsid w:val="4344443E"/>
    <w:rsid w:val="4371031A"/>
    <w:rsid w:val="438B55EF"/>
    <w:rsid w:val="439E4917"/>
    <w:rsid w:val="43C26223"/>
    <w:rsid w:val="43D8307E"/>
    <w:rsid w:val="43E95F10"/>
    <w:rsid w:val="441F25EB"/>
    <w:rsid w:val="44270F39"/>
    <w:rsid w:val="446B705F"/>
    <w:rsid w:val="449D44EC"/>
    <w:rsid w:val="44CE1530"/>
    <w:rsid w:val="44D55C2E"/>
    <w:rsid w:val="44E33A58"/>
    <w:rsid w:val="44FD3057"/>
    <w:rsid w:val="452C7C82"/>
    <w:rsid w:val="455F1A1E"/>
    <w:rsid w:val="456044CF"/>
    <w:rsid w:val="45660821"/>
    <w:rsid w:val="45BB117C"/>
    <w:rsid w:val="45C74F02"/>
    <w:rsid w:val="45D052E3"/>
    <w:rsid w:val="45E5517A"/>
    <w:rsid w:val="463858F2"/>
    <w:rsid w:val="46476E97"/>
    <w:rsid w:val="469479A4"/>
    <w:rsid w:val="46B16D2A"/>
    <w:rsid w:val="46CE3131"/>
    <w:rsid w:val="477D6219"/>
    <w:rsid w:val="47B26ADA"/>
    <w:rsid w:val="480B0ABE"/>
    <w:rsid w:val="48414EF1"/>
    <w:rsid w:val="48626D0F"/>
    <w:rsid w:val="486A0685"/>
    <w:rsid w:val="486E34B9"/>
    <w:rsid w:val="48B42CB9"/>
    <w:rsid w:val="48C45B16"/>
    <w:rsid w:val="49055DE0"/>
    <w:rsid w:val="492A1C08"/>
    <w:rsid w:val="49435688"/>
    <w:rsid w:val="49447621"/>
    <w:rsid w:val="494F7907"/>
    <w:rsid w:val="495121FB"/>
    <w:rsid w:val="49F667BE"/>
    <w:rsid w:val="49FE04B8"/>
    <w:rsid w:val="4A0F73AF"/>
    <w:rsid w:val="4A813349"/>
    <w:rsid w:val="4ACD12C4"/>
    <w:rsid w:val="4AD94F0A"/>
    <w:rsid w:val="4B120320"/>
    <w:rsid w:val="4B224791"/>
    <w:rsid w:val="4B351EBD"/>
    <w:rsid w:val="4B39537B"/>
    <w:rsid w:val="4B3A26B4"/>
    <w:rsid w:val="4B475336"/>
    <w:rsid w:val="4B9B4387"/>
    <w:rsid w:val="4BBA6C33"/>
    <w:rsid w:val="4BE25B8D"/>
    <w:rsid w:val="4BF51429"/>
    <w:rsid w:val="4C0055E5"/>
    <w:rsid w:val="4C101D68"/>
    <w:rsid w:val="4C1D6B3E"/>
    <w:rsid w:val="4C3677AE"/>
    <w:rsid w:val="4C3A54A5"/>
    <w:rsid w:val="4C706B3A"/>
    <w:rsid w:val="4CBE334B"/>
    <w:rsid w:val="4CDA3845"/>
    <w:rsid w:val="4CE7625D"/>
    <w:rsid w:val="4D1C1C7E"/>
    <w:rsid w:val="4D341573"/>
    <w:rsid w:val="4D7E777C"/>
    <w:rsid w:val="4D9765F8"/>
    <w:rsid w:val="4DD80A86"/>
    <w:rsid w:val="4DE05F18"/>
    <w:rsid w:val="4DEA065C"/>
    <w:rsid w:val="4DF45996"/>
    <w:rsid w:val="4E0B77B7"/>
    <w:rsid w:val="4EA84CC1"/>
    <w:rsid w:val="4EC50AB5"/>
    <w:rsid w:val="4EC60687"/>
    <w:rsid w:val="4EEF2740"/>
    <w:rsid w:val="4F4405C2"/>
    <w:rsid w:val="4F6124E8"/>
    <w:rsid w:val="4FB54A1F"/>
    <w:rsid w:val="4FB930AA"/>
    <w:rsid w:val="4FFA42BD"/>
    <w:rsid w:val="500444E1"/>
    <w:rsid w:val="50521EBE"/>
    <w:rsid w:val="507213ED"/>
    <w:rsid w:val="509E30DE"/>
    <w:rsid w:val="50CA150C"/>
    <w:rsid w:val="50CF7A89"/>
    <w:rsid w:val="50D278CA"/>
    <w:rsid w:val="50E9731C"/>
    <w:rsid w:val="5116577B"/>
    <w:rsid w:val="51B27F42"/>
    <w:rsid w:val="51C15CED"/>
    <w:rsid w:val="52035B4B"/>
    <w:rsid w:val="52285DEB"/>
    <w:rsid w:val="522B5516"/>
    <w:rsid w:val="52843ED5"/>
    <w:rsid w:val="52A51DAA"/>
    <w:rsid w:val="52AD62F0"/>
    <w:rsid w:val="52BE51D6"/>
    <w:rsid w:val="533C6232"/>
    <w:rsid w:val="537853DA"/>
    <w:rsid w:val="538316B2"/>
    <w:rsid w:val="53B421F7"/>
    <w:rsid w:val="53C502FD"/>
    <w:rsid w:val="53DB1D32"/>
    <w:rsid w:val="540F1D1A"/>
    <w:rsid w:val="543E46C2"/>
    <w:rsid w:val="5441391B"/>
    <w:rsid w:val="546308FE"/>
    <w:rsid w:val="548D7247"/>
    <w:rsid w:val="549061AB"/>
    <w:rsid w:val="549321D5"/>
    <w:rsid w:val="54C9414A"/>
    <w:rsid w:val="54EA38B6"/>
    <w:rsid w:val="55610FE0"/>
    <w:rsid w:val="55661996"/>
    <w:rsid w:val="559E3DA3"/>
    <w:rsid w:val="559E4C00"/>
    <w:rsid w:val="55A31364"/>
    <w:rsid w:val="55E52AB0"/>
    <w:rsid w:val="55EA47C8"/>
    <w:rsid w:val="56360F26"/>
    <w:rsid w:val="5644521C"/>
    <w:rsid w:val="56AD4494"/>
    <w:rsid w:val="56FA0F3D"/>
    <w:rsid w:val="57147446"/>
    <w:rsid w:val="572B67BC"/>
    <w:rsid w:val="574D579F"/>
    <w:rsid w:val="57920969"/>
    <w:rsid w:val="5793177F"/>
    <w:rsid w:val="57D12738"/>
    <w:rsid w:val="57E44496"/>
    <w:rsid w:val="57ED3851"/>
    <w:rsid w:val="57F31EDF"/>
    <w:rsid w:val="581124D1"/>
    <w:rsid w:val="587D5B2C"/>
    <w:rsid w:val="588C24A6"/>
    <w:rsid w:val="58C116AC"/>
    <w:rsid w:val="58CB0D47"/>
    <w:rsid w:val="58D15577"/>
    <w:rsid w:val="58DE6450"/>
    <w:rsid w:val="58E63BF6"/>
    <w:rsid w:val="59465A38"/>
    <w:rsid w:val="594C781F"/>
    <w:rsid w:val="5955310E"/>
    <w:rsid w:val="596A241C"/>
    <w:rsid w:val="598C40D3"/>
    <w:rsid w:val="59B36F59"/>
    <w:rsid w:val="59E66F00"/>
    <w:rsid w:val="5A2D01AF"/>
    <w:rsid w:val="5A7F3DC5"/>
    <w:rsid w:val="5A8010E2"/>
    <w:rsid w:val="5B2834FC"/>
    <w:rsid w:val="5B3E16E1"/>
    <w:rsid w:val="5B6B0254"/>
    <w:rsid w:val="5BD81CB8"/>
    <w:rsid w:val="5C700974"/>
    <w:rsid w:val="5C7B4577"/>
    <w:rsid w:val="5C8E32BC"/>
    <w:rsid w:val="5CA227BE"/>
    <w:rsid w:val="5CA9739C"/>
    <w:rsid w:val="5CD81AAD"/>
    <w:rsid w:val="5D154283"/>
    <w:rsid w:val="5D472000"/>
    <w:rsid w:val="5D78240E"/>
    <w:rsid w:val="5D832015"/>
    <w:rsid w:val="5DEE651F"/>
    <w:rsid w:val="5DEF7C2E"/>
    <w:rsid w:val="5E000000"/>
    <w:rsid w:val="5E153E30"/>
    <w:rsid w:val="5E8B76C7"/>
    <w:rsid w:val="5ECB5698"/>
    <w:rsid w:val="5EE31402"/>
    <w:rsid w:val="5EFF51C6"/>
    <w:rsid w:val="5F2346ED"/>
    <w:rsid w:val="5F44452F"/>
    <w:rsid w:val="5F7048CB"/>
    <w:rsid w:val="5FA917ED"/>
    <w:rsid w:val="5FBB6003"/>
    <w:rsid w:val="5FC655F2"/>
    <w:rsid w:val="5FC92591"/>
    <w:rsid w:val="5FCA538C"/>
    <w:rsid w:val="5FCF25A2"/>
    <w:rsid w:val="5FFB3CCE"/>
    <w:rsid w:val="60226167"/>
    <w:rsid w:val="60347B79"/>
    <w:rsid w:val="604D71BA"/>
    <w:rsid w:val="60B040F2"/>
    <w:rsid w:val="60CC4E6F"/>
    <w:rsid w:val="60D27C4E"/>
    <w:rsid w:val="61086613"/>
    <w:rsid w:val="613D5D3E"/>
    <w:rsid w:val="615E2A6C"/>
    <w:rsid w:val="616F46B3"/>
    <w:rsid w:val="61792B34"/>
    <w:rsid w:val="618F3874"/>
    <w:rsid w:val="61B33D75"/>
    <w:rsid w:val="61BB2D16"/>
    <w:rsid w:val="61ED1D8E"/>
    <w:rsid w:val="61ED367E"/>
    <w:rsid w:val="61FE7172"/>
    <w:rsid w:val="629C689B"/>
    <w:rsid w:val="62F817E7"/>
    <w:rsid w:val="63DF1853"/>
    <w:rsid w:val="63F27AC4"/>
    <w:rsid w:val="6408782B"/>
    <w:rsid w:val="6425548C"/>
    <w:rsid w:val="64951D33"/>
    <w:rsid w:val="65322CBF"/>
    <w:rsid w:val="653B1A31"/>
    <w:rsid w:val="655A293D"/>
    <w:rsid w:val="65A13217"/>
    <w:rsid w:val="65A42950"/>
    <w:rsid w:val="65D661EC"/>
    <w:rsid w:val="667034AE"/>
    <w:rsid w:val="66D04A3B"/>
    <w:rsid w:val="67065096"/>
    <w:rsid w:val="67091F0A"/>
    <w:rsid w:val="6762571B"/>
    <w:rsid w:val="67A872BA"/>
    <w:rsid w:val="682B1C5A"/>
    <w:rsid w:val="683B32B2"/>
    <w:rsid w:val="68411501"/>
    <w:rsid w:val="68460E56"/>
    <w:rsid w:val="684A0B9C"/>
    <w:rsid w:val="685366BA"/>
    <w:rsid w:val="68623E05"/>
    <w:rsid w:val="68CC52CB"/>
    <w:rsid w:val="68DE4FFE"/>
    <w:rsid w:val="68E17597"/>
    <w:rsid w:val="68F24BBA"/>
    <w:rsid w:val="6907626F"/>
    <w:rsid w:val="69405D20"/>
    <w:rsid w:val="694B58D7"/>
    <w:rsid w:val="69613EDE"/>
    <w:rsid w:val="696933F9"/>
    <w:rsid w:val="698E7C99"/>
    <w:rsid w:val="69CE4E15"/>
    <w:rsid w:val="69F56CBC"/>
    <w:rsid w:val="6AD045EA"/>
    <w:rsid w:val="6AD87E6B"/>
    <w:rsid w:val="6B21221C"/>
    <w:rsid w:val="6B34775F"/>
    <w:rsid w:val="6B355DE6"/>
    <w:rsid w:val="6B384B26"/>
    <w:rsid w:val="6B493E06"/>
    <w:rsid w:val="6B776764"/>
    <w:rsid w:val="6B7F3246"/>
    <w:rsid w:val="6BAB47EA"/>
    <w:rsid w:val="6BF13140"/>
    <w:rsid w:val="6C2F4E15"/>
    <w:rsid w:val="6C9123C5"/>
    <w:rsid w:val="6C991EEB"/>
    <w:rsid w:val="6CA70D3F"/>
    <w:rsid w:val="6CA860AF"/>
    <w:rsid w:val="6D0C525A"/>
    <w:rsid w:val="6D166307"/>
    <w:rsid w:val="6D43154E"/>
    <w:rsid w:val="6D43385F"/>
    <w:rsid w:val="6D8A5547"/>
    <w:rsid w:val="6DA20A54"/>
    <w:rsid w:val="6DE67BDD"/>
    <w:rsid w:val="6E9268D1"/>
    <w:rsid w:val="6ED47DD5"/>
    <w:rsid w:val="6EF07839"/>
    <w:rsid w:val="6F1E6BCC"/>
    <w:rsid w:val="6F264FA4"/>
    <w:rsid w:val="6F3E07C9"/>
    <w:rsid w:val="6F5A5F1D"/>
    <w:rsid w:val="6F5E2411"/>
    <w:rsid w:val="6F63000B"/>
    <w:rsid w:val="6F694F02"/>
    <w:rsid w:val="6F6F3134"/>
    <w:rsid w:val="6FB2029E"/>
    <w:rsid w:val="703F27DB"/>
    <w:rsid w:val="704C4E6B"/>
    <w:rsid w:val="70BD0C18"/>
    <w:rsid w:val="70D9123C"/>
    <w:rsid w:val="70E7312E"/>
    <w:rsid w:val="711C0ED7"/>
    <w:rsid w:val="715B6D40"/>
    <w:rsid w:val="717013EE"/>
    <w:rsid w:val="71AB37DD"/>
    <w:rsid w:val="71B91FC5"/>
    <w:rsid w:val="71E25161"/>
    <w:rsid w:val="71F10F43"/>
    <w:rsid w:val="72033473"/>
    <w:rsid w:val="72191AF6"/>
    <w:rsid w:val="722C238B"/>
    <w:rsid w:val="7248283C"/>
    <w:rsid w:val="72B56DCF"/>
    <w:rsid w:val="72E778EA"/>
    <w:rsid w:val="73076882"/>
    <w:rsid w:val="7329544B"/>
    <w:rsid w:val="737E2489"/>
    <w:rsid w:val="73B31A17"/>
    <w:rsid w:val="73B926AC"/>
    <w:rsid w:val="73CA0D2C"/>
    <w:rsid w:val="73E66B2A"/>
    <w:rsid w:val="744E4A6D"/>
    <w:rsid w:val="74825A64"/>
    <w:rsid w:val="7487179B"/>
    <w:rsid w:val="74E870AF"/>
    <w:rsid w:val="751D506D"/>
    <w:rsid w:val="75237502"/>
    <w:rsid w:val="755463A9"/>
    <w:rsid w:val="75600885"/>
    <w:rsid w:val="75B570E6"/>
    <w:rsid w:val="75B850E2"/>
    <w:rsid w:val="75F6741D"/>
    <w:rsid w:val="75FD71CD"/>
    <w:rsid w:val="76056E0C"/>
    <w:rsid w:val="76426FFA"/>
    <w:rsid w:val="764D2994"/>
    <w:rsid w:val="76551F87"/>
    <w:rsid w:val="768476EE"/>
    <w:rsid w:val="76872CAC"/>
    <w:rsid w:val="76BF1310"/>
    <w:rsid w:val="772F483B"/>
    <w:rsid w:val="7772545F"/>
    <w:rsid w:val="778E5ADA"/>
    <w:rsid w:val="77BF5B58"/>
    <w:rsid w:val="77D03BC7"/>
    <w:rsid w:val="780A1873"/>
    <w:rsid w:val="78192EBB"/>
    <w:rsid w:val="782F6A5D"/>
    <w:rsid w:val="78375BE2"/>
    <w:rsid w:val="786E14F6"/>
    <w:rsid w:val="787D11B8"/>
    <w:rsid w:val="78A55D56"/>
    <w:rsid w:val="78AA3C8D"/>
    <w:rsid w:val="78C45398"/>
    <w:rsid w:val="78D924CA"/>
    <w:rsid w:val="78EB0454"/>
    <w:rsid w:val="78F40218"/>
    <w:rsid w:val="791C32F3"/>
    <w:rsid w:val="792C5912"/>
    <w:rsid w:val="793E3162"/>
    <w:rsid w:val="798A0767"/>
    <w:rsid w:val="79BB3B94"/>
    <w:rsid w:val="79BC2E5F"/>
    <w:rsid w:val="79DF1F5F"/>
    <w:rsid w:val="79FC02A4"/>
    <w:rsid w:val="79FC2066"/>
    <w:rsid w:val="7A1E2183"/>
    <w:rsid w:val="7A2F2D5C"/>
    <w:rsid w:val="7A707FE4"/>
    <w:rsid w:val="7A83275F"/>
    <w:rsid w:val="7A991BD3"/>
    <w:rsid w:val="7AC50B3B"/>
    <w:rsid w:val="7AD169D1"/>
    <w:rsid w:val="7AF32BBC"/>
    <w:rsid w:val="7B1B0868"/>
    <w:rsid w:val="7B9260C7"/>
    <w:rsid w:val="7BE82E75"/>
    <w:rsid w:val="7BEF132F"/>
    <w:rsid w:val="7BEF675E"/>
    <w:rsid w:val="7C210787"/>
    <w:rsid w:val="7C464D6E"/>
    <w:rsid w:val="7C774E30"/>
    <w:rsid w:val="7CC75E49"/>
    <w:rsid w:val="7CDD549F"/>
    <w:rsid w:val="7D06699A"/>
    <w:rsid w:val="7D1F5A2E"/>
    <w:rsid w:val="7D982C2D"/>
    <w:rsid w:val="7DCC3280"/>
    <w:rsid w:val="7DE71D07"/>
    <w:rsid w:val="7DFE12D4"/>
    <w:rsid w:val="7E107572"/>
    <w:rsid w:val="7E522AF6"/>
    <w:rsid w:val="7E8B30DA"/>
    <w:rsid w:val="7E8E15CD"/>
    <w:rsid w:val="7EA379DD"/>
    <w:rsid w:val="7EF94FA3"/>
    <w:rsid w:val="7F000DA3"/>
    <w:rsid w:val="7F1C2885"/>
    <w:rsid w:val="7F5F1773"/>
    <w:rsid w:val="7F7833B1"/>
    <w:rsid w:val="7F7E2041"/>
    <w:rsid w:val="7FAA26FB"/>
    <w:rsid w:val="7FC77697"/>
    <w:rsid w:val="7FE1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5">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5"/>
    <w:qFormat/>
    <w:uiPriority w:val="0"/>
    <w:pPr>
      <w:ind w:firstLine="420" w:firstLineChars="200"/>
    </w:pPr>
    <w:rPr>
      <w:rFonts w:ascii="仿宋_GB2312" w:hAnsi="Calibri" w:eastAsia="仿宋_GB2312" w:cs="Times New Roman"/>
      <w:color w:val="000000"/>
      <w:kern w:val="0"/>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qFormat/>
    <w:uiPriority w:val="0"/>
    <w:rPr>
      <w:rFonts w:hint="eastAsia" w:ascii="宋体" w:hAnsi="宋体" w:eastAsia="宋体" w:cs="宋体"/>
      <w:color w:val="000000"/>
      <w:sz w:val="24"/>
      <w:szCs w:val="24"/>
      <w:u w:val="none"/>
    </w:rPr>
  </w:style>
  <w:style w:type="character" w:customStyle="1" w:styleId="14">
    <w:name w:val="font51"/>
    <w:basedOn w:val="12"/>
    <w:qFormat/>
    <w:uiPriority w:val="0"/>
    <w:rPr>
      <w:rFonts w:hint="default" w:ascii="Times New Roman" w:hAnsi="Times New Roman" w:cs="Times New Roman"/>
      <w:color w:val="000000"/>
      <w:sz w:val="24"/>
      <w:szCs w:val="24"/>
      <w:u w:val="none"/>
    </w:rPr>
  </w:style>
  <w:style w:type="character" w:customStyle="1" w:styleId="15">
    <w:name w:val="预算公开四级标题"/>
    <w:basedOn w:val="12"/>
    <w:qFormat/>
    <w:uiPriority w:val="0"/>
    <w:rPr>
      <w:rFonts w:ascii="Calibri" w:hAnsi="Calibri" w:eastAsia="楷体_GB2312"/>
      <w:b/>
      <w:sz w:val="32"/>
    </w:rPr>
  </w:style>
  <w:style w:type="character" w:customStyle="1" w:styleId="16">
    <w:name w:val="预算公开正文内容"/>
    <w:basedOn w:val="12"/>
    <w:qFormat/>
    <w:uiPriority w:val="0"/>
    <w:rPr>
      <w:rFonts w:ascii="Calibri" w:hAnsi="Calibri" w:eastAsia="仿宋_GB2312"/>
      <w:sz w:val="32"/>
    </w:rPr>
  </w:style>
  <w:style w:type="character" w:customStyle="1" w:styleId="17">
    <w:name w:val="预算公开二级标题"/>
    <w:basedOn w:val="12"/>
    <w:qFormat/>
    <w:uiPriority w:val="0"/>
    <w:rPr>
      <w:rFonts w:ascii="Calibri" w:hAnsi="Calibri"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2024-01-09T05:20:00Z</dcterms:created>
  <dc:creator>审核人</dc:creator>
  <cp:lastModifiedBy>Administrator</cp:lastModifiedBy>
  <cp:lastPrinted>2025-04-22T05:57:00Z</cp:lastPrinted>
  <dcterms:modified xsi:type="dcterms:W3CDTF">2025-04-28T09:58:26Z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860350A525FC4ADAABCA1CA76943FD3E_13</vt:lpwstr>
  </property>
</Properties>
</file>