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center"/>
        <w:outlineLvl w:val="1"/>
        <w:rPr>
          <w:rFonts w:hint="eastAsia"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rPr>
      </w:pPr>
    </w:p>
    <w:p>
      <w:pPr>
        <w:widowControl/>
        <w:spacing w:before="100" w:beforeAutospacing="1" w:after="100" w:afterAutospacing="1"/>
        <w:jc w:val="center"/>
        <w:outlineLvl w:val="1"/>
        <w:rPr>
          <w:rFonts w:hint="eastAsia" w:ascii="方正小标宋_GBK" w:hAnsi="宋体" w:eastAsia="方正小标宋_GBK"/>
          <w:kern w:val="0"/>
          <w:sz w:val="44"/>
          <w:szCs w:val="44"/>
        </w:rPr>
      </w:pPr>
    </w:p>
    <w:p>
      <w:pPr>
        <w:widowControl/>
        <w:spacing w:before="100" w:beforeAutospacing="1" w:after="100" w:afterAutospacing="1"/>
        <w:jc w:val="center"/>
        <w:outlineLvl w:val="1"/>
      </w:pPr>
      <w:r>
        <w:rPr>
          <w:rFonts w:hint="eastAsia" w:ascii="方正小标宋_GBK" w:hAnsi="宋体" w:eastAsia="方正小标宋_GBK"/>
          <w:kern w:val="0"/>
          <w:sz w:val="44"/>
          <w:szCs w:val="44"/>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中国共产党焉耆回族自治县委员会社会工作部</w:t>
      </w:r>
    </w:p>
    <w:p>
      <w:pPr>
        <w:widowControl/>
        <w:spacing w:before="100" w:beforeAutospacing="1" w:after="100" w:afterAutospacing="1"/>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rPr>
        <w:t>2025年单位预算公开</w:t>
      </w:r>
    </w:p>
    <w:p>
      <w:pPr>
        <w:widowControl/>
        <w:spacing w:line="440" w:lineRule="exact"/>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jc w:val="center"/>
        <w:outlineLvl w:val="1"/>
        <w:rPr>
          <w:rFonts w:hint="eastAsia" w:ascii="黑体" w:hAnsi="黑体" w:eastAsia="黑体"/>
          <w:kern w:val="0"/>
          <w:sz w:val="36"/>
          <w:szCs w:val="32"/>
        </w:rPr>
      </w:pPr>
    </w:p>
    <w:p>
      <w:pPr>
        <w:widowControl/>
        <w:spacing w:line="440" w:lineRule="exact"/>
        <w:outlineLvl w:val="1"/>
        <w:rPr>
          <w:rFonts w:hint="eastAsia" w:ascii="黑体" w:hAnsi="黑体" w:eastAsia="黑体"/>
          <w:kern w:val="0"/>
          <w:sz w:val="36"/>
          <w:szCs w:val="32"/>
        </w:rPr>
        <w:sectPr>
          <w:footerReference r:id="rId3" w:type="default"/>
          <w:pgSz w:w="11906" w:h="16838"/>
          <w:pgMar w:top="2098" w:right="1418" w:bottom="1928" w:left="1588" w:header="851" w:footer="992" w:gutter="0"/>
          <w:pgNumType w:start="1"/>
          <w:cols w:space="720" w:num="1"/>
          <w:docGrid w:linePitch="312" w:charSpace="0"/>
        </w:sectPr>
      </w:pPr>
    </w:p>
    <w:p>
      <w:pPr>
        <w:spacing w:line="600" w:lineRule="exact"/>
        <w:jc w:val="center"/>
        <w:rPr>
          <w:rFonts w:hint="eastAsia" w:ascii="黑体" w:hAnsi="黑体" w:eastAsia="黑体" w:cs="黑体"/>
          <w:kern w:val="0"/>
          <w:sz w:val="32"/>
          <w:szCs w:val="32"/>
        </w:rPr>
      </w:pPr>
      <w:r>
        <w:rPr>
          <w:rFonts w:hint="eastAsia" w:ascii="黑体" w:hAnsi="黑体" w:eastAsia="黑体" w:cs="黑体"/>
          <w:kern w:val="0"/>
          <w:sz w:val="32"/>
          <w:szCs w:val="32"/>
        </w:rPr>
        <w:t>目 录</w:t>
      </w:r>
    </w:p>
    <w:p>
      <w:pPr>
        <w:spacing w:line="600" w:lineRule="exact"/>
        <w:ind w:firstLine="643" w:firstLineChars="200"/>
        <w:rPr>
          <w:rFonts w:hint="eastAsia" w:ascii="仿宋_GB2312" w:hAnsi="仿宋_GB2312" w:eastAsia="仿宋_GB2312" w:cs="仿宋_GB2312"/>
          <w:b/>
          <w:kern w:val="0"/>
          <w:sz w:val="32"/>
          <w:szCs w:val="32"/>
        </w:rPr>
      </w:pPr>
    </w:p>
    <w:p>
      <w:pPr>
        <w:widowControl/>
        <w:spacing w:line="540" w:lineRule="exact"/>
        <w:ind w:firstLine="643" w:firstLineChars="200"/>
        <w:jc w:val="left"/>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第一部分 2025年中单位概况</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一、主要职能</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二、机构设置及人员情况</w:t>
      </w:r>
    </w:p>
    <w:p>
      <w:pPr>
        <w:widowControl/>
        <w:spacing w:line="540" w:lineRule="exact"/>
        <w:ind w:firstLine="643" w:firstLineChars="200"/>
        <w:jc w:val="left"/>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第二部分 2025年单位预算公开表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一、单位收支总体情况表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二、单位收入总体情况表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三、单位支出总体情况表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四、财政拨款收支预算总体情况表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五、一般公共预算支出情况表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六、一般公共预算基本支出情况表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七、一般公共预算项目支出情况表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八、政府性基金预算支出情况表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十、财政拨款“三公”经费支出情况表</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十一、上年结转结余情况明细表</w:t>
      </w:r>
    </w:p>
    <w:p>
      <w:pPr>
        <w:widowControl/>
        <w:spacing w:line="540" w:lineRule="exact"/>
        <w:ind w:firstLine="643"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
          <w:kern w:val="0"/>
          <w:sz w:val="32"/>
          <w:szCs w:val="32"/>
        </w:rPr>
        <w:t>第三部分 2025年单位预算情况说明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一、关于中国共产党焉耆回族自治县委员会社会工作部2025年收支预算情况的总体说明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二、关于中国共产党焉耆回族自治县委员会社会工作部2025年收入预算情况说明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三、关于中国共产党焉耆回族自治县委员会社会工作部2025年支出预算情况说明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四、关于中国共产党焉耆回族自治县委员会社会工作部2025年财政拨款收支预算情况的总体说明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五、关于中国共产党焉耆回族自治县委员会社会工作部2025年一般公共预算当年拨款情况说明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六、关于中国共产党焉耆回族自治县委员会社会工作部2025年一般公共预算基本支出情况说明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七、关于中国共产党焉耆回族自治县委员会社会工作部2025年一般公共预算项目支出情况说明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八、关于中国共产党焉耆回族自治县委员会社会工作部2025年政府性基金预算拨款情况说明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九、关于中国共产党焉耆回族自治县委员会社会工作部2025年国有资本经营预算拨款情况说明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十、关于中国共产党焉耆回族自治县委员会社会工作部2025年财政拨款“三公”经费预算情况说明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十一、关于中国共产党焉耆回族自治县委员会社会工作部2025年上年结转结余预算情况说明</w:t>
      </w:r>
    </w:p>
    <w:p>
      <w:pPr>
        <w:widowControl/>
        <w:spacing w:line="540" w:lineRule="exact"/>
        <w:ind w:firstLine="640" w:firstLineChars="200"/>
        <w:jc w:val="left"/>
        <w:outlineLvl w:val="1"/>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十二、其他重要事项的情况说明</w:t>
      </w:r>
    </w:p>
    <w:p>
      <w:pPr>
        <w:widowControl/>
        <w:spacing w:line="540" w:lineRule="exact"/>
        <w:ind w:firstLine="643" w:firstLineChars="200"/>
        <w:jc w:val="left"/>
        <w:outlineLvl w:val="1"/>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第四部分 名词解释</w:t>
      </w:r>
    </w:p>
    <w:p>
      <w:pPr>
        <w:rPr>
          <w:rFonts w:hint="eastAsia" w:ascii="仿宋_GB2312" w:hAnsi="仿宋_GB2312" w:eastAsia="仿宋_GB2312" w:cs="仿宋_GB2312"/>
          <w:b/>
          <w:kern w:val="0"/>
          <w:sz w:val="32"/>
          <w:szCs w:val="32"/>
        </w:rPr>
      </w:pPr>
      <w:r>
        <w:br w:type="page"/>
      </w:r>
    </w:p>
    <w:p>
      <w:pPr>
        <w:widowControl/>
        <w:spacing w:line="540" w:lineRule="exact"/>
        <w:jc w:val="center"/>
        <w:outlineLvl w:val="1"/>
        <w:rPr>
          <w:rFonts w:hint="eastAsia" w:ascii="黑体" w:hAnsi="黑体" w:eastAsia="黑体"/>
          <w:kern w:val="0"/>
          <w:sz w:val="32"/>
          <w:szCs w:val="32"/>
        </w:rPr>
      </w:pPr>
      <w:r>
        <w:rPr>
          <w:rFonts w:hint="eastAsia" w:ascii="黑体" w:hAnsi="黑体" w:eastAsia="黑体"/>
          <w:kern w:val="0"/>
          <w:sz w:val="32"/>
          <w:szCs w:val="32"/>
        </w:rPr>
        <w:t>第一部分  2025年单位概况</w:t>
      </w:r>
    </w:p>
    <w:p>
      <w:pPr>
        <w:widowControl/>
        <w:spacing w:line="540" w:lineRule="exact"/>
        <w:jc w:val="center"/>
        <w:outlineLvl w:val="1"/>
        <w:rPr>
          <w:rFonts w:hint="eastAsia" w:ascii="宋体" w:hAnsi="宋体"/>
          <w:b/>
          <w:kern w:val="0"/>
          <w:sz w:val="32"/>
          <w:szCs w:val="32"/>
        </w:rPr>
      </w:pPr>
    </w:p>
    <w:p>
      <w:pPr>
        <w:widowControl/>
        <w:spacing w:line="540" w:lineRule="exact"/>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一、主要职能</w:t>
      </w:r>
    </w:p>
    <w:p>
      <w:pPr>
        <w:widowControl/>
        <w:spacing w:line="540" w:lineRule="exact"/>
        <w:ind w:firstLine="640" w:firstLineChars="200"/>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1.负责统筹指导人民信访工作，指导人民建议征集工作。</w:t>
      </w:r>
    </w:p>
    <w:p>
      <w:pPr>
        <w:widowControl/>
        <w:spacing w:line="540" w:lineRule="exact"/>
        <w:ind w:firstLine="640" w:firstLineChars="200"/>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2.统筹推进党建引领基层治理和基层政权建设，健全和落实党建引领基层治理领导体制和工作机制。</w:t>
      </w:r>
    </w:p>
    <w:p>
      <w:pPr>
        <w:widowControl/>
        <w:spacing w:line="540" w:lineRule="exact"/>
        <w:ind w:firstLine="640" w:firstLineChars="200"/>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3.统一领导焉耆县行业协会商会党的工作，协调推动行业协会商会深化改革和转型发展，指导混合所有制企业、非公有制企业和新经济组织、新社会组织、新就业群体党的建设工作。</w:t>
      </w:r>
    </w:p>
    <w:p>
      <w:pPr>
        <w:widowControl/>
        <w:spacing w:line="540" w:lineRule="exact"/>
        <w:ind w:firstLine="640" w:firstLineChars="200"/>
        <w:jc w:val="left"/>
        <w:rPr>
          <w:rFonts w:hint="eastAsia" w:ascii="仿宋_GB2312" w:hAnsi="宋体" w:eastAsia="仿宋_GB2312" w:cs="宋体"/>
          <w:bCs/>
          <w:kern w:val="0"/>
          <w:sz w:val="32"/>
          <w:szCs w:val="32"/>
        </w:rPr>
      </w:pPr>
      <w:r>
        <w:rPr>
          <w:rFonts w:hint="eastAsia" w:ascii="仿宋_GB2312" w:hAnsi="宋体" w:eastAsia="仿宋_GB2312" w:cs="宋体"/>
          <w:bCs/>
          <w:kern w:val="0"/>
          <w:sz w:val="32"/>
          <w:szCs w:val="32"/>
        </w:rPr>
        <w:t>4.指导社会工作人才队伍建设，负责志愿者服务工作等相关职责。</w:t>
      </w:r>
    </w:p>
    <w:p>
      <w:pPr>
        <w:widowControl/>
        <w:spacing w:line="540" w:lineRule="exact"/>
        <w:ind w:firstLine="643" w:firstLineChars="200"/>
        <w:jc w:val="left"/>
        <w:rPr>
          <w:rFonts w:hint="eastAsia" w:ascii="楷体_GB2312" w:hAnsi="楷体_GB2312" w:eastAsia="楷体_GB2312" w:cs="楷体_GB2312"/>
          <w:b/>
          <w:bCs/>
          <w:kern w:val="0"/>
          <w:sz w:val="32"/>
          <w:szCs w:val="32"/>
        </w:rPr>
      </w:pPr>
      <w:r>
        <w:rPr>
          <w:rFonts w:hint="eastAsia" w:ascii="楷体_GB2312" w:hAnsi="楷体_GB2312" w:eastAsia="楷体_GB2312" w:cs="楷体_GB2312"/>
          <w:b/>
          <w:bCs/>
          <w:kern w:val="0"/>
          <w:sz w:val="32"/>
          <w:szCs w:val="32"/>
        </w:rPr>
        <w:t>二、机构设置及人员情况</w:t>
      </w:r>
    </w:p>
    <w:p>
      <w:pPr>
        <w:widowControl/>
        <w:spacing w:line="540" w:lineRule="exact"/>
        <w:ind w:firstLine="640" w:firstLineChars="200"/>
        <w:rPr>
          <w:rFonts w:ascii="仿宋_GB2312" w:hAnsi="黑体" w:eastAsia="仿宋_GB2312" w:cs="宋体"/>
          <w:bCs/>
          <w:kern w:val="0"/>
          <w:sz w:val="32"/>
          <w:szCs w:val="32"/>
        </w:rPr>
      </w:pPr>
      <w:r>
        <w:rPr>
          <w:rFonts w:hint="eastAsia" w:ascii="仿宋_GB2312" w:hAnsi="黑体" w:eastAsia="仿宋_GB2312" w:cs="宋体"/>
          <w:bCs/>
          <w:kern w:val="0"/>
          <w:sz w:val="32"/>
          <w:szCs w:val="32"/>
        </w:rPr>
        <w:t>中国共产党焉耆回族自治县委员会社会工作部无下属预算单位，下设3个处室，分别是办公室、综合业务科室、信访接待室。</w:t>
      </w:r>
    </w:p>
    <w:p>
      <w:pPr>
        <w:widowControl/>
        <w:spacing w:line="540" w:lineRule="exact"/>
        <w:ind w:firstLine="640" w:firstLineChars="200"/>
        <w:rPr>
          <w:rFonts w:hint="eastAsia" w:ascii="仿宋_GB2312" w:hAnsi="黑体" w:eastAsia="仿宋_GB2312" w:cs="宋体"/>
          <w:bCs/>
          <w:kern w:val="0"/>
          <w:sz w:val="32"/>
          <w:szCs w:val="32"/>
        </w:rPr>
      </w:pPr>
      <w:r>
        <w:rPr>
          <w:rFonts w:hint="eastAsia" w:ascii="仿宋_GB2312" w:hAnsi="黑体" w:eastAsia="仿宋_GB2312" w:cs="宋体"/>
          <w:b w:val="0"/>
          <w:kern w:val="0"/>
          <w:sz w:val="32"/>
        </w:rPr>
        <w:t>中国共产党焉耆回族自治县委员会社会工作部编制数15，实有人数14人，其中：在职14人，增加0人；退休0人，增加0人；离休0人，增加0人。</w:t>
      </w:r>
      <w:r>
        <w:br w:type="page"/>
      </w:r>
    </w:p>
    <w:p>
      <w:pPr>
        <w:widowControl/>
        <w:spacing w:line="440" w:lineRule="exact"/>
        <w:jc w:val="center"/>
        <w:outlineLvl w:val="1"/>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第二部分 2025年单位预算公开表</w:t>
      </w:r>
    </w:p>
    <w:p>
      <w:pPr>
        <w:widowControl/>
        <w:spacing w:line="240" w:lineRule="exact"/>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表1</w:t>
      </w:r>
    </w:p>
    <w:p>
      <w:pPr>
        <w:widowControl/>
        <w:spacing w:line="360" w:lineRule="exact"/>
        <w:jc w:val="center"/>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单位收支总体情况表</w:t>
      </w:r>
    </w:p>
    <w:p>
      <w:pPr>
        <w:widowControl/>
        <w:spacing w:line="360" w:lineRule="exact"/>
        <w:jc w:val="left"/>
        <w:outlineLvl w:val="1"/>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编制单位：中国共产党焉耆回族自治县委员会社会工作部          单位：万元</w:t>
      </w:r>
    </w:p>
    <w:tbl>
      <w:tblPr>
        <w:tblStyle w:val="12"/>
        <w:tblW w:w="866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165"/>
        <w:gridCol w:w="1103"/>
        <w:gridCol w:w="2693"/>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vAlign w:val="bottom"/>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收     入</w:t>
            </w:r>
          </w:p>
        </w:tc>
        <w:tc>
          <w:tcPr>
            <w:tcW w:w="4394" w:type="dxa"/>
            <w:gridSpan w:val="2"/>
            <w:tcBorders>
              <w:top w:val="single" w:color="auto" w:sz="4" w:space="0"/>
              <w:left w:val="nil"/>
              <w:bottom w:val="single" w:color="auto" w:sz="4" w:space="0"/>
              <w:right w:val="single" w:color="auto" w:sz="4" w:space="0"/>
            </w:tcBorders>
            <w:vAlign w:val="bottom"/>
          </w:tcPr>
          <w:p>
            <w:pPr>
              <w:widowControl/>
              <w:spacing w:line="280" w:lineRule="exact"/>
              <w:jc w:val="center"/>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kern w:val="0"/>
              </w:rPr>
            </w:pPr>
            <w:r>
              <w:rPr>
                <w:rFonts w:hint="default" w:ascii="Times New Roman" w:hAnsi="Times New Roman" w:eastAsia="仿宋_GB2312" w:cs="Times New Roman"/>
                <w:b/>
                <w:kern w:val="0"/>
                <w:sz w:val="20"/>
                <w:szCs w:val="20"/>
              </w:rPr>
              <w:t>项     目</w:t>
            </w:r>
          </w:p>
        </w:tc>
        <w:tc>
          <w:tcPr>
            <w:tcW w:w="110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预算数</w:t>
            </w:r>
          </w:p>
        </w:tc>
        <w:tc>
          <w:tcPr>
            <w:tcW w:w="2693"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功能分类</w:t>
            </w:r>
          </w:p>
        </w:tc>
        <w:tc>
          <w:tcPr>
            <w:tcW w:w="1701" w:type="dxa"/>
            <w:tcBorders>
              <w:top w:val="nil"/>
              <w:left w:val="nil"/>
              <w:bottom w:val="single" w:color="auto" w:sz="4" w:space="0"/>
              <w:right w:val="single" w:color="auto" w:sz="4" w:space="0"/>
            </w:tcBorders>
            <w:vAlign w:val="center"/>
          </w:tcPr>
          <w:p>
            <w:pPr>
              <w:widowControl/>
              <w:spacing w:line="280" w:lineRule="exact"/>
              <w:jc w:val="center"/>
              <w:rPr>
                <w:rFonts w:hint="default" w:ascii="Times New Roman" w:hAnsi="Times New Roman" w:eastAsia="仿宋_GB2312" w:cs="Times New Roman"/>
                <w:b/>
                <w:kern w:val="0"/>
                <w:sz w:val="20"/>
                <w:szCs w:val="20"/>
              </w:rPr>
            </w:pPr>
            <w:r>
              <w:rPr>
                <w:rFonts w:hint="default" w:ascii="Times New Roman" w:hAnsi="Times New Roman" w:eastAsia="仿宋_GB2312" w:cs="Times New Roman"/>
                <w:b/>
                <w:kern w:val="0"/>
                <w:sz w:val="20"/>
                <w:szCs w:val="20"/>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一、本年收入</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167.36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201 一般公共服务支出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119.62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1.一般公共预算拨款</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167.36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202 外交支出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其中：一般财力</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167.36</w:t>
            </w:r>
          </w:p>
          <w:p>
            <w:pPr>
              <w:widowControl/>
              <w:spacing w:line="280" w:lineRule="exact"/>
              <w:ind w:right="180"/>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203 国防支出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上级一般公共预算安排转移支付</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204 公共安全支出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2.政府性基金预算拨款</w:t>
            </w:r>
            <w:r>
              <w:rPr>
                <w:rFonts w:hint="default" w:ascii="Times New Roman" w:hAnsi="Times New Roman" w:eastAsia="仿宋_GB2312" w:cs="Times New Roman"/>
                <w:kern w:val="0"/>
              </w:rPr>
              <w:tab/>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205 教育支出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其中：政府性基金收入</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206 科学技术支出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上级政府性基金安排转移支付</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207 文化旅游体育与传媒支出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3.国有资本经营预算拨款</w:t>
            </w:r>
          </w:p>
        </w:tc>
        <w:tc>
          <w:tcPr>
            <w:tcW w:w="1103" w:type="dxa"/>
            <w:tcBorders>
              <w:top w:val="nil"/>
              <w:left w:val="nil"/>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208 社会保障和就业支出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25.11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其中：国有资本经营收入</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209 社会保险基金支出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上级国有资本经营预算安排转移支付</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210 卫生健康支出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10.07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4.财政专户核拨</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211 节能环保支出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5.单位资金</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212 城乡社区支出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其中：事业收入</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213 农林水支出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上级补助收入</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214 交通运输支出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附属单位上缴收入</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215 资源勘探工业信息等支出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事业单位经营收入</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216 商业服务业等支出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其他收入</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217 金融支出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二、上年结转结余</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219 援助其他地区支出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1.财政拨款结转</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220 自然资源海洋气象等支出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其中：一般公共预算拨款</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221 住房保障支出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12.56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政府性基金预算拨款</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222 粮油物资储备支出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国有资本经营预算拨款</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223 国有资本经营预算支出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2.非财政拨款结余</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224 灾害防治及应急管理支出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其中：财政专户核拨</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227 预备费</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单位资金</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229 其他支出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15"/>
                <w:szCs w:val="15"/>
              </w:rPr>
            </w:pPr>
            <w:r>
              <w:rPr>
                <w:rFonts w:hint="default" w:ascii="Times New Roman" w:hAnsi="Times New Roman" w:eastAsia="仿宋_GB2312" w:cs="Times New Roman"/>
                <w:kern w:val="0"/>
              </w:rPr>
              <w:t>230 转移性支出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231 债务还本支出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232 债务付息支出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1103" w:type="dxa"/>
            <w:tcBorders>
              <w:top w:val="nil"/>
              <w:left w:val="nil"/>
              <w:bottom w:val="single" w:color="auto" w:sz="4" w:space="0"/>
              <w:right w:val="single" w:color="auto" w:sz="4" w:space="0"/>
            </w:tcBorders>
            <w:vAlign w:val="bottom"/>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c>
          <w:tcPr>
            <w:tcW w:w="2693" w:type="dxa"/>
            <w:tcBorders>
              <w:top w:val="nil"/>
              <w:left w:val="nil"/>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233 债务发行费用支出</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rPr>
            </w:pP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rPr>
            </w:pPr>
          </w:p>
        </w:tc>
        <w:tc>
          <w:tcPr>
            <w:tcW w:w="2693"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xml:space="preserve">                    </w:t>
            </w: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rPr>
            </w:pPr>
            <w:r>
              <w:rPr>
                <w:rFonts w:hint="default" w:ascii="Times New Roman" w:hAnsi="Times New Roman" w:eastAsia="仿宋_GB2312" w:cs="Times New Roman"/>
                <w:kern w:val="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vAlign w:val="center"/>
          </w:tcPr>
          <w:p>
            <w:pPr>
              <w:widowControl/>
              <w:spacing w:line="280" w:lineRule="exact"/>
              <w:jc w:val="left"/>
              <w:rPr>
                <w:rFonts w:hint="default" w:ascii="Times New Roman" w:hAnsi="Times New Roman" w:eastAsia="仿宋_GB2312" w:cs="Times New Roman"/>
                <w:kern w:val="0"/>
                <w:sz w:val="20"/>
                <w:szCs w:val="20"/>
              </w:rPr>
            </w:pP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rPr>
            </w:pPr>
          </w:p>
        </w:tc>
        <w:tc>
          <w:tcPr>
            <w:tcW w:w="2693" w:type="dxa"/>
            <w:tcBorders>
              <w:top w:val="nil"/>
              <w:left w:val="nil"/>
              <w:bottom w:val="single" w:color="auto" w:sz="4" w:space="0"/>
              <w:right w:val="single" w:color="auto" w:sz="4" w:space="0"/>
            </w:tcBorders>
            <w:vAlign w:val="center"/>
          </w:tcPr>
          <w:p>
            <w:pPr>
              <w:widowControl/>
              <w:spacing w:line="280" w:lineRule="exact"/>
              <w:jc w:val="left"/>
              <w:textAlignment w:val="center"/>
              <w:rPr>
                <w:rFonts w:hint="default" w:ascii="Times New Roman" w:hAnsi="Times New Roman" w:eastAsia="仿宋_GB2312" w:cs="Times New Roman"/>
                <w:kern w:val="0"/>
              </w:rPr>
            </w:pPr>
          </w:p>
        </w:tc>
        <w:tc>
          <w:tcPr>
            <w:tcW w:w="1701" w:type="dxa"/>
            <w:tcBorders>
              <w:top w:val="nil"/>
              <w:left w:val="nil"/>
              <w:bottom w:val="single" w:color="auto" w:sz="4" w:space="0"/>
              <w:right w:val="single" w:color="auto" w:sz="4" w:space="0"/>
            </w:tcBorders>
            <w:vAlign w:val="center"/>
          </w:tcPr>
          <w:p>
            <w:pPr>
              <w:widowControl/>
              <w:spacing w:line="280" w:lineRule="exact"/>
              <w:jc w:val="left"/>
              <w:rPr>
                <w:rFonts w:hint="default" w:ascii="Times New Roman" w:hAnsi="Times New Roman" w:eastAsia="仿宋_GB2312" w:cs="Times New Roman"/>
                <w:kern w:val="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收  入  总  计</w:t>
            </w:r>
          </w:p>
        </w:tc>
        <w:tc>
          <w:tcPr>
            <w:tcW w:w="1103"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167.36</w:t>
            </w:r>
          </w:p>
        </w:tc>
        <w:tc>
          <w:tcPr>
            <w:tcW w:w="2693" w:type="dxa"/>
            <w:tcBorders>
              <w:top w:val="nil"/>
              <w:left w:val="nil"/>
              <w:bottom w:val="single" w:color="auto" w:sz="4" w:space="0"/>
              <w:right w:val="nil"/>
            </w:tcBorders>
            <w:vAlign w:val="center"/>
          </w:tcPr>
          <w:p>
            <w:pPr>
              <w:widowControl/>
              <w:spacing w:line="280" w:lineRule="exact"/>
              <w:jc w:val="center"/>
              <w:rPr>
                <w:rFonts w:hint="default" w:ascii="Times New Roman" w:hAnsi="Times New Roman" w:eastAsia="仿宋_GB2312" w:cs="Times New Roman"/>
                <w:b/>
                <w:bCs/>
                <w:kern w:val="0"/>
                <w:sz w:val="20"/>
                <w:szCs w:val="20"/>
              </w:rPr>
            </w:pPr>
            <w:r>
              <w:rPr>
                <w:rFonts w:hint="default" w:ascii="Times New Roman" w:hAnsi="Times New Roman" w:eastAsia="仿宋_GB2312" w:cs="Times New Roman"/>
                <w:b/>
                <w:bCs/>
                <w:kern w:val="0"/>
                <w:sz w:val="20"/>
                <w:szCs w:val="20"/>
              </w:rPr>
              <w:t>支  出  总  计</w:t>
            </w:r>
          </w:p>
        </w:tc>
        <w:tc>
          <w:tcPr>
            <w:tcW w:w="1701"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default" w:ascii="Times New Roman" w:hAnsi="Times New Roman" w:eastAsia="仿宋_GB2312" w:cs="Times New Roman"/>
                <w:kern w:val="0"/>
              </w:rPr>
            </w:pPr>
            <w:r>
              <w:rPr>
                <w:rFonts w:hint="default" w:ascii="Times New Roman" w:hAnsi="Times New Roman" w:eastAsia="仿宋_GB2312" w:cs="Times New Roman"/>
                <w:kern w:val="0"/>
              </w:rPr>
              <w:t>167.36　</w:t>
            </w:r>
          </w:p>
        </w:tc>
      </w:tr>
    </w:tbl>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表2</w:t>
      </w:r>
    </w:p>
    <w:p>
      <w:pPr>
        <w:widowControl/>
        <w:spacing w:line="440" w:lineRule="exact"/>
        <w:jc w:val="center"/>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单位收入总体情况表</w:t>
      </w:r>
    </w:p>
    <w:p>
      <w:pPr>
        <w:widowControl/>
        <w:jc w:val="lef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编制单位：中国共产党焉耆回族自治县委员会社会工作部          单位：万元</w:t>
      </w:r>
    </w:p>
    <w:tbl>
      <w:tblPr>
        <w:tblStyle w:val="12"/>
        <w:tblW w:w="10549" w:type="dxa"/>
        <w:tblInd w:w="-73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00"/>
        <w:gridCol w:w="480"/>
        <w:gridCol w:w="493"/>
        <w:gridCol w:w="1693"/>
        <w:gridCol w:w="816"/>
        <w:gridCol w:w="893"/>
        <w:gridCol w:w="840"/>
        <w:gridCol w:w="694"/>
        <w:gridCol w:w="464"/>
        <w:gridCol w:w="627"/>
        <w:gridCol w:w="413"/>
        <w:gridCol w:w="642"/>
        <w:gridCol w:w="467"/>
        <w:gridCol w:w="387"/>
        <w:gridCol w:w="466"/>
        <w:gridCol w:w="5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573"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功能分类科目编码</w:t>
            </w:r>
          </w:p>
        </w:tc>
        <w:tc>
          <w:tcPr>
            <w:tcW w:w="1693"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功能分类科目名称</w:t>
            </w:r>
          </w:p>
        </w:tc>
        <w:tc>
          <w:tcPr>
            <w:tcW w:w="81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总  计</w:t>
            </w:r>
          </w:p>
        </w:tc>
        <w:tc>
          <w:tcPr>
            <w:tcW w:w="4573" w:type="dxa"/>
            <w:gridSpan w:val="7"/>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财  政  拨  款  (  补  助  )</w:t>
            </w:r>
          </w:p>
        </w:tc>
        <w:tc>
          <w:tcPr>
            <w:tcW w:w="46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财政专户（教育收费）</w:t>
            </w:r>
          </w:p>
        </w:tc>
        <w:tc>
          <w:tcPr>
            <w:tcW w:w="387"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单位资金</w:t>
            </w:r>
          </w:p>
        </w:tc>
        <w:tc>
          <w:tcPr>
            <w:tcW w:w="466"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财政拨款结转</w:t>
            </w:r>
          </w:p>
        </w:tc>
        <w:tc>
          <w:tcPr>
            <w:tcW w:w="574" w:type="dxa"/>
            <w:vMerge w:val="restart"/>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非财政拨款结转结余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14" w:hRule="atLeast"/>
        </w:trPr>
        <w:tc>
          <w:tcPr>
            <w:tcW w:w="600"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类</w:t>
            </w:r>
          </w:p>
        </w:tc>
        <w:tc>
          <w:tcPr>
            <w:tcW w:w="480" w:type="dxa"/>
            <w:tcBorders>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款</w:t>
            </w:r>
          </w:p>
        </w:tc>
        <w:tc>
          <w:tcPr>
            <w:tcW w:w="493" w:type="dxa"/>
            <w:tcBorders>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项</w:t>
            </w:r>
          </w:p>
        </w:tc>
        <w:tc>
          <w:tcPr>
            <w:tcW w:w="1693"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cs="Times New Roman"/>
              </w:rPr>
            </w:pPr>
          </w:p>
        </w:tc>
        <w:tc>
          <w:tcPr>
            <w:tcW w:w="816"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cs="Times New Roman"/>
              </w:rPr>
            </w:pPr>
          </w:p>
        </w:tc>
        <w:tc>
          <w:tcPr>
            <w:tcW w:w="893"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财政拨款(补助)小计</w:t>
            </w:r>
          </w:p>
        </w:tc>
        <w:tc>
          <w:tcPr>
            <w:tcW w:w="840"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一般公共预算</w:t>
            </w:r>
          </w:p>
        </w:tc>
        <w:tc>
          <w:tcPr>
            <w:tcW w:w="694"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上级一般公共预算安排的转移支付</w:t>
            </w:r>
          </w:p>
        </w:tc>
        <w:tc>
          <w:tcPr>
            <w:tcW w:w="464"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政府性基金预算</w:t>
            </w:r>
          </w:p>
        </w:tc>
        <w:tc>
          <w:tcPr>
            <w:tcW w:w="627"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上级政府性基金安排的转移支付</w:t>
            </w:r>
          </w:p>
        </w:tc>
        <w:tc>
          <w:tcPr>
            <w:tcW w:w="413"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国有资本经营预算</w:t>
            </w:r>
          </w:p>
        </w:tc>
        <w:tc>
          <w:tcPr>
            <w:tcW w:w="642" w:type="dxa"/>
            <w:tcBorders>
              <w:top w:val="single" w:color="auto" w:sz="4" w:space="0"/>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0"/>
                <w:szCs w:val="20"/>
              </w:rPr>
            </w:pPr>
            <w:r>
              <w:rPr>
                <w:rFonts w:hint="default" w:ascii="Times New Roman" w:hAnsi="Times New Roman" w:eastAsia="仿宋_GB2312" w:cs="Times New Roman"/>
                <w:b/>
                <w:bCs/>
                <w:sz w:val="20"/>
                <w:szCs w:val="20"/>
              </w:rPr>
              <w:t>上级国有资本经营预算安排的转移支付</w:t>
            </w:r>
          </w:p>
        </w:tc>
        <w:tc>
          <w:tcPr>
            <w:tcW w:w="467"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cs="Times New Roman"/>
              </w:rPr>
            </w:pPr>
          </w:p>
        </w:tc>
        <w:tc>
          <w:tcPr>
            <w:tcW w:w="387"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cs="Times New Roman"/>
              </w:rPr>
            </w:pPr>
          </w:p>
        </w:tc>
        <w:tc>
          <w:tcPr>
            <w:tcW w:w="466"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cs="Times New Roman"/>
              </w:rPr>
            </w:pPr>
          </w:p>
        </w:tc>
        <w:tc>
          <w:tcPr>
            <w:tcW w:w="574" w:type="dxa"/>
            <w:vMerge w:val="continue"/>
            <w:tcBorders>
              <w:left w:val="single" w:color="auto" w:sz="4" w:space="0"/>
              <w:bottom w:val="single" w:color="000000"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80"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93"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6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一般公共服务支出</w:t>
            </w:r>
          </w:p>
        </w:tc>
        <w:tc>
          <w:tcPr>
            <w:tcW w:w="816"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119.62　</w:t>
            </w:r>
          </w:p>
        </w:tc>
        <w:tc>
          <w:tcPr>
            <w:tcW w:w="893"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119.62</w:t>
            </w:r>
          </w:p>
        </w:tc>
        <w:tc>
          <w:tcPr>
            <w:tcW w:w="840" w:type="dxa"/>
            <w:tcBorders>
              <w:top w:val="nil"/>
              <w:left w:val="nil"/>
              <w:bottom w:val="single" w:color="auto" w:sz="4" w:space="0"/>
              <w:right w:val="single" w:color="auto" w:sz="4" w:space="0"/>
            </w:tcBorders>
            <w:shd w:val="clear" w:color="000000" w:fill="FFFFFF"/>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119.62　</w:t>
            </w:r>
          </w:p>
        </w:tc>
        <w:tc>
          <w:tcPr>
            <w:tcW w:w="694" w:type="dxa"/>
            <w:tcBorders>
              <w:top w:val="nil"/>
              <w:left w:val="nil"/>
              <w:bottom w:val="single" w:color="auto" w:sz="4" w:space="0"/>
              <w:right w:val="single" w:color="auto" w:sz="4" w:space="0"/>
            </w:tcBorders>
            <w:shd w:val="clear" w:color="000000" w:fill="FFFFFF"/>
            <w:vAlign w:val="center"/>
          </w:tcPr>
          <w:p>
            <w:pPr>
              <w:rPr>
                <w:rFonts w:hint="default" w:ascii="Times New Roman" w:hAnsi="Times New Roman" w:cs="Times New Roman"/>
              </w:rPr>
            </w:pPr>
          </w:p>
        </w:tc>
        <w:tc>
          <w:tcPr>
            <w:tcW w:w="464" w:type="dxa"/>
            <w:tcBorders>
              <w:top w:val="nil"/>
              <w:left w:val="nil"/>
              <w:bottom w:val="single" w:color="auto" w:sz="4" w:space="0"/>
              <w:right w:val="single" w:color="auto" w:sz="4" w:space="0"/>
            </w:tcBorders>
            <w:shd w:val="clear" w:color="000000" w:fill="FFFFFF"/>
            <w:vAlign w:val="center"/>
          </w:tcPr>
          <w:p>
            <w:pPr>
              <w:rPr>
                <w:rFonts w:hint="default" w:ascii="Times New Roman" w:hAnsi="Times New Roman" w:cs="Times New Roman"/>
              </w:rPr>
            </w:pPr>
            <w:r>
              <w:rPr>
                <w:rFonts w:hint="default" w:ascii="Times New Roman" w:hAnsi="Times New Roman" w:cs="Times New Roman"/>
              </w:rPr>
              <w:t>　</w:t>
            </w:r>
          </w:p>
        </w:tc>
        <w:tc>
          <w:tcPr>
            <w:tcW w:w="627" w:type="dxa"/>
            <w:tcBorders>
              <w:top w:val="nil"/>
              <w:left w:val="nil"/>
              <w:bottom w:val="single" w:color="auto" w:sz="4" w:space="0"/>
              <w:right w:val="single" w:color="auto" w:sz="4" w:space="0"/>
            </w:tcBorders>
            <w:shd w:val="clear" w:color="000000" w:fill="FFFFFF"/>
            <w:vAlign w:val="center"/>
          </w:tcPr>
          <w:p>
            <w:pPr>
              <w:rPr>
                <w:rFonts w:hint="default" w:ascii="Times New Roman" w:hAnsi="Times New Roman" w:cs="Times New Roman"/>
              </w:rPr>
            </w:pPr>
            <w:r>
              <w:rPr>
                <w:rFonts w:hint="default" w:ascii="Times New Roman" w:hAnsi="Times New Roman" w:cs="Times New Roman"/>
              </w:rPr>
              <w:t>　</w:t>
            </w:r>
          </w:p>
        </w:tc>
        <w:tc>
          <w:tcPr>
            <w:tcW w:w="413" w:type="dxa"/>
            <w:tcBorders>
              <w:top w:val="nil"/>
              <w:left w:val="nil"/>
              <w:bottom w:val="single" w:color="auto" w:sz="4" w:space="0"/>
              <w:right w:val="single" w:color="auto" w:sz="4" w:space="0"/>
            </w:tcBorders>
            <w:shd w:val="clear" w:color="000000" w:fill="FFFFFF"/>
            <w:vAlign w:val="center"/>
          </w:tcPr>
          <w:p>
            <w:pPr>
              <w:rPr>
                <w:rFonts w:hint="default" w:ascii="Times New Roman" w:hAnsi="Times New Roman" w:cs="Times New Roman"/>
              </w:rPr>
            </w:pPr>
            <w:r>
              <w:rPr>
                <w:rFonts w:hint="default" w:ascii="Times New Roman" w:hAnsi="Times New Roman" w:cs="Times New Roman"/>
              </w:rPr>
              <w:t>　</w:t>
            </w:r>
          </w:p>
        </w:tc>
        <w:tc>
          <w:tcPr>
            <w:tcW w:w="642" w:type="dxa"/>
            <w:tcBorders>
              <w:top w:val="nil"/>
              <w:left w:val="nil"/>
              <w:bottom w:val="single" w:color="auto" w:sz="4" w:space="0"/>
              <w:right w:val="single" w:color="auto" w:sz="4" w:space="0"/>
            </w:tcBorders>
            <w:shd w:val="clear" w:color="000000" w:fill="FFFFFF"/>
            <w:vAlign w:val="center"/>
          </w:tcPr>
          <w:p>
            <w:pPr>
              <w:rPr>
                <w:rFonts w:hint="default" w:ascii="Times New Roman" w:hAnsi="Times New Roman" w:cs="Times New Roman"/>
              </w:rPr>
            </w:pPr>
            <w:r>
              <w:rPr>
                <w:rFonts w:hint="default" w:ascii="Times New Roman" w:hAnsi="Times New Roman" w:cs="Times New Roman"/>
              </w:rPr>
              <w:t>　</w:t>
            </w:r>
          </w:p>
        </w:tc>
        <w:tc>
          <w:tcPr>
            <w:tcW w:w="467" w:type="dxa"/>
            <w:tcBorders>
              <w:top w:val="nil"/>
              <w:left w:val="single" w:color="auto" w:sz="4" w:space="0"/>
              <w:bottom w:val="single" w:color="auto" w:sz="4" w:space="0"/>
              <w:right w:val="single" w:color="auto" w:sz="4" w:space="0"/>
            </w:tcBorders>
            <w:shd w:val="clear" w:color="000000" w:fill="FFFFFF"/>
            <w:vAlign w:val="center"/>
          </w:tcPr>
          <w:p>
            <w:pPr>
              <w:rPr>
                <w:rFonts w:hint="default" w:ascii="Times New Roman" w:hAnsi="Times New Roman" w:cs="Times New Roman"/>
              </w:rPr>
            </w:pPr>
          </w:p>
        </w:tc>
        <w:tc>
          <w:tcPr>
            <w:tcW w:w="387" w:type="dxa"/>
            <w:tcBorders>
              <w:top w:val="nil"/>
              <w:left w:val="single" w:color="auto" w:sz="4" w:space="0"/>
              <w:bottom w:val="single" w:color="auto" w:sz="4" w:space="0"/>
              <w:right w:val="single" w:color="auto" w:sz="4" w:space="0"/>
            </w:tcBorders>
            <w:shd w:val="clear" w:color="000000" w:fill="FFFFFF"/>
            <w:vAlign w:val="center"/>
          </w:tcPr>
          <w:p>
            <w:pPr>
              <w:rPr>
                <w:rFonts w:hint="default" w:ascii="Times New Roman" w:hAnsi="Times New Roman" w:cs="Times New Roman"/>
              </w:rPr>
            </w:pPr>
          </w:p>
        </w:tc>
        <w:tc>
          <w:tcPr>
            <w:tcW w:w="466" w:type="dxa"/>
            <w:tcBorders>
              <w:top w:val="nil"/>
              <w:left w:val="single" w:color="auto" w:sz="4" w:space="0"/>
              <w:bottom w:val="single" w:color="auto" w:sz="4" w:space="0"/>
              <w:right w:val="single" w:color="auto" w:sz="4" w:space="0"/>
            </w:tcBorders>
            <w:shd w:val="clear" w:color="000000" w:fill="FFFFFF"/>
            <w:vAlign w:val="center"/>
          </w:tcPr>
          <w:p>
            <w:pPr>
              <w:rPr>
                <w:rFonts w:hint="default" w:ascii="Times New Roman" w:hAnsi="Times New Roman" w:cs="Times New Roman"/>
              </w:rPr>
            </w:pPr>
          </w:p>
        </w:tc>
        <w:tc>
          <w:tcPr>
            <w:tcW w:w="574" w:type="dxa"/>
            <w:tcBorders>
              <w:top w:val="nil"/>
              <w:left w:val="single" w:color="auto" w:sz="4" w:space="0"/>
              <w:bottom w:val="single" w:color="auto" w:sz="4" w:space="0"/>
              <w:right w:val="single" w:color="auto" w:sz="4" w:space="0"/>
            </w:tcBorders>
            <w:shd w:val="clear" w:color="000000" w:fill="FFFFFF"/>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39　</w:t>
            </w:r>
          </w:p>
        </w:tc>
        <w:tc>
          <w:tcPr>
            <w:tcW w:w="4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693"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社会工作事物</w:t>
            </w:r>
          </w:p>
        </w:tc>
        <w:tc>
          <w:tcPr>
            <w:tcW w:w="81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119.62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119.62　</w:t>
            </w:r>
          </w:p>
        </w:tc>
        <w:tc>
          <w:tcPr>
            <w:tcW w:w="8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119.62　</w:t>
            </w:r>
          </w:p>
        </w:tc>
        <w:tc>
          <w:tcPr>
            <w:tcW w:w="69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27"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13"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42"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6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8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6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574"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39　</w:t>
            </w:r>
          </w:p>
        </w:tc>
        <w:tc>
          <w:tcPr>
            <w:tcW w:w="4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　</w:t>
            </w:r>
          </w:p>
        </w:tc>
        <w:tc>
          <w:tcPr>
            <w:tcW w:w="1693"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行政运行</w:t>
            </w:r>
          </w:p>
        </w:tc>
        <w:tc>
          <w:tcPr>
            <w:tcW w:w="81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90.03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90.03　</w:t>
            </w:r>
          </w:p>
        </w:tc>
        <w:tc>
          <w:tcPr>
            <w:tcW w:w="8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90.03　</w:t>
            </w:r>
          </w:p>
        </w:tc>
        <w:tc>
          <w:tcPr>
            <w:tcW w:w="69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27"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13"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42"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6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8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6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574"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39　</w:t>
            </w:r>
          </w:p>
        </w:tc>
        <w:tc>
          <w:tcPr>
            <w:tcW w:w="4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50　</w:t>
            </w:r>
          </w:p>
        </w:tc>
        <w:tc>
          <w:tcPr>
            <w:tcW w:w="1693"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事业运行</w:t>
            </w:r>
          </w:p>
        </w:tc>
        <w:tc>
          <w:tcPr>
            <w:tcW w:w="81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29.59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29.59　</w:t>
            </w:r>
          </w:p>
        </w:tc>
        <w:tc>
          <w:tcPr>
            <w:tcW w:w="8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29.59　</w:t>
            </w:r>
          </w:p>
        </w:tc>
        <w:tc>
          <w:tcPr>
            <w:tcW w:w="69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27"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13"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42"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6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8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6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574"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693"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社会保障和就业支出</w:t>
            </w:r>
          </w:p>
        </w:tc>
        <w:tc>
          <w:tcPr>
            <w:tcW w:w="81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25.11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25.11　</w:t>
            </w:r>
          </w:p>
        </w:tc>
        <w:tc>
          <w:tcPr>
            <w:tcW w:w="8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25.11　</w:t>
            </w:r>
          </w:p>
        </w:tc>
        <w:tc>
          <w:tcPr>
            <w:tcW w:w="69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27"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13"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42"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6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8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6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574"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　</w:t>
            </w:r>
          </w:p>
        </w:tc>
        <w:tc>
          <w:tcPr>
            <w:tcW w:w="4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693"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行政事业单位养老支出</w:t>
            </w:r>
          </w:p>
        </w:tc>
        <w:tc>
          <w:tcPr>
            <w:tcW w:w="81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25.11</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25.11</w:t>
            </w:r>
          </w:p>
        </w:tc>
        <w:tc>
          <w:tcPr>
            <w:tcW w:w="8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25.11</w:t>
            </w:r>
          </w:p>
        </w:tc>
        <w:tc>
          <w:tcPr>
            <w:tcW w:w="69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27"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13"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42"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6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8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6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574"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　</w:t>
            </w:r>
          </w:p>
        </w:tc>
        <w:tc>
          <w:tcPr>
            <w:tcW w:w="4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　</w:t>
            </w:r>
          </w:p>
        </w:tc>
        <w:tc>
          <w:tcPr>
            <w:tcW w:w="1693"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机关事业单位基本养老保险缴费支出</w:t>
            </w:r>
          </w:p>
        </w:tc>
        <w:tc>
          <w:tcPr>
            <w:tcW w:w="81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16.74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16.74　</w:t>
            </w:r>
          </w:p>
        </w:tc>
        <w:tc>
          <w:tcPr>
            <w:tcW w:w="8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16.74　</w:t>
            </w:r>
          </w:p>
        </w:tc>
        <w:tc>
          <w:tcPr>
            <w:tcW w:w="69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27"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13"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42"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6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8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6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574"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4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06</w:t>
            </w:r>
          </w:p>
        </w:tc>
        <w:tc>
          <w:tcPr>
            <w:tcW w:w="1693"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机关事业单位职业年金缴费支出</w:t>
            </w:r>
          </w:p>
        </w:tc>
        <w:tc>
          <w:tcPr>
            <w:tcW w:w="81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8.37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8.37　</w:t>
            </w:r>
          </w:p>
        </w:tc>
        <w:tc>
          <w:tcPr>
            <w:tcW w:w="8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8.37　</w:t>
            </w:r>
          </w:p>
        </w:tc>
        <w:tc>
          <w:tcPr>
            <w:tcW w:w="69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27"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13"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42"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6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8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6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574"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693"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卫生健康支出</w:t>
            </w:r>
          </w:p>
        </w:tc>
        <w:tc>
          <w:tcPr>
            <w:tcW w:w="81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10.07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10.07　</w:t>
            </w:r>
          </w:p>
        </w:tc>
        <w:tc>
          <w:tcPr>
            <w:tcW w:w="8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10.07　</w:t>
            </w:r>
          </w:p>
        </w:tc>
        <w:tc>
          <w:tcPr>
            <w:tcW w:w="69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6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1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64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6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38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466"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574"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　</w:t>
            </w:r>
          </w:p>
        </w:tc>
        <w:tc>
          <w:tcPr>
            <w:tcW w:w="4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693"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行政事业单位医疗</w:t>
            </w:r>
          </w:p>
        </w:tc>
        <w:tc>
          <w:tcPr>
            <w:tcW w:w="81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10.07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10.07　</w:t>
            </w:r>
          </w:p>
        </w:tc>
        <w:tc>
          <w:tcPr>
            <w:tcW w:w="8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10.07　</w:t>
            </w:r>
          </w:p>
        </w:tc>
        <w:tc>
          <w:tcPr>
            <w:tcW w:w="69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27"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13"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42"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6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8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6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574"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　</w:t>
            </w:r>
          </w:p>
        </w:tc>
        <w:tc>
          <w:tcPr>
            <w:tcW w:w="4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　</w:t>
            </w:r>
          </w:p>
        </w:tc>
        <w:tc>
          <w:tcPr>
            <w:tcW w:w="1693"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行政单位医疗</w:t>
            </w:r>
          </w:p>
        </w:tc>
        <w:tc>
          <w:tcPr>
            <w:tcW w:w="81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5.52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5.52　</w:t>
            </w:r>
          </w:p>
        </w:tc>
        <w:tc>
          <w:tcPr>
            <w:tcW w:w="8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5.52　</w:t>
            </w:r>
          </w:p>
        </w:tc>
        <w:tc>
          <w:tcPr>
            <w:tcW w:w="69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27"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13"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42"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6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8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6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574"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11　</w:t>
            </w:r>
          </w:p>
        </w:tc>
        <w:tc>
          <w:tcPr>
            <w:tcW w:w="4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　</w:t>
            </w:r>
          </w:p>
        </w:tc>
        <w:tc>
          <w:tcPr>
            <w:tcW w:w="1693"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事业单位医疗</w:t>
            </w:r>
          </w:p>
        </w:tc>
        <w:tc>
          <w:tcPr>
            <w:tcW w:w="81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　</w:t>
            </w:r>
          </w:p>
        </w:tc>
        <w:tc>
          <w:tcPr>
            <w:tcW w:w="8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　</w:t>
            </w:r>
          </w:p>
        </w:tc>
        <w:tc>
          <w:tcPr>
            <w:tcW w:w="69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627"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13"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642"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8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6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574"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　</w:t>
            </w:r>
          </w:p>
        </w:tc>
        <w:tc>
          <w:tcPr>
            <w:tcW w:w="4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03　</w:t>
            </w:r>
          </w:p>
        </w:tc>
        <w:tc>
          <w:tcPr>
            <w:tcW w:w="1693"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公务员医疗补助</w:t>
            </w:r>
          </w:p>
        </w:tc>
        <w:tc>
          <w:tcPr>
            <w:tcW w:w="81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2.34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2.34　</w:t>
            </w:r>
          </w:p>
        </w:tc>
        <w:tc>
          <w:tcPr>
            <w:tcW w:w="8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2.34　</w:t>
            </w:r>
          </w:p>
        </w:tc>
        <w:tc>
          <w:tcPr>
            <w:tcW w:w="69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27"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13"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42"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6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8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6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574"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221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693"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住房保障支出</w:t>
            </w:r>
          </w:p>
        </w:tc>
        <w:tc>
          <w:tcPr>
            <w:tcW w:w="81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8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69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27"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13"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42"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6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8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6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574"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221</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4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693"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住房改革支出</w:t>
            </w:r>
          </w:p>
        </w:tc>
        <w:tc>
          <w:tcPr>
            <w:tcW w:w="81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8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69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627"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13"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642"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8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6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574"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221</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4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1693"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住房公积金</w:t>
            </w:r>
          </w:p>
        </w:tc>
        <w:tc>
          <w:tcPr>
            <w:tcW w:w="81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8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69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627"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13"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642"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8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6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574"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6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8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69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合  计</w:t>
            </w:r>
          </w:p>
        </w:tc>
        <w:tc>
          <w:tcPr>
            <w:tcW w:w="816"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167.36　</w:t>
            </w:r>
          </w:p>
        </w:tc>
        <w:tc>
          <w:tcPr>
            <w:tcW w:w="89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167.36　</w:t>
            </w:r>
          </w:p>
        </w:tc>
        <w:tc>
          <w:tcPr>
            <w:tcW w:w="84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167.36　</w:t>
            </w:r>
          </w:p>
        </w:tc>
        <w:tc>
          <w:tcPr>
            <w:tcW w:w="694" w:type="dxa"/>
            <w:tcBorders>
              <w:top w:val="nil"/>
              <w:left w:val="nil"/>
              <w:bottom w:val="single" w:color="auto" w:sz="4" w:space="0"/>
              <w:right w:val="single" w:color="auto" w:sz="4" w:space="0"/>
            </w:tcBorders>
            <w:vAlign w:val="center"/>
          </w:tcPr>
          <w:p>
            <w:pPr>
              <w:rPr>
                <w:rFonts w:hint="default" w:ascii="Times New Roman" w:hAnsi="Times New Roman" w:cs="Times New Roman"/>
              </w:rPr>
            </w:pPr>
          </w:p>
        </w:tc>
        <w:tc>
          <w:tcPr>
            <w:tcW w:w="464"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27"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13"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642" w:type="dxa"/>
            <w:tcBorders>
              <w:top w:val="nil"/>
              <w:left w:val="nil"/>
              <w:bottom w:val="single" w:color="auto" w:sz="4" w:space="0"/>
              <w:right w:val="single" w:color="auto" w:sz="4" w:space="0"/>
            </w:tcBorders>
            <w:vAlign w:val="center"/>
          </w:tcPr>
          <w:p>
            <w:pPr>
              <w:rPr>
                <w:rFonts w:hint="default" w:ascii="Times New Roman" w:hAnsi="Times New Roman" w:cs="Times New Roman"/>
              </w:rPr>
            </w:pPr>
            <w:r>
              <w:rPr>
                <w:rFonts w:hint="default" w:ascii="Times New Roman" w:hAnsi="Times New Roman" w:cs="Times New Roman"/>
              </w:rPr>
              <w:t>　</w:t>
            </w:r>
          </w:p>
        </w:tc>
        <w:tc>
          <w:tcPr>
            <w:tcW w:w="46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387"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466"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c>
          <w:tcPr>
            <w:tcW w:w="574" w:type="dxa"/>
            <w:tcBorders>
              <w:top w:val="nil"/>
              <w:left w:val="single" w:color="auto" w:sz="4" w:space="0"/>
              <w:bottom w:val="single" w:color="auto" w:sz="4" w:space="0"/>
              <w:right w:val="single" w:color="auto" w:sz="4" w:space="0"/>
            </w:tcBorders>
            <w:vAlign w:val="center"/>
          </w:tcPr>
          <w:p>
            <w:pPr>
              <w:rPr>
                <w:rFonts w:hint="default" w:ascii="Times New Roman" w:hAnsi="Times New Roman" w:cs="Times New Roman"/>
              </w:rPr>
            </w:pPr>
          </w:p>
        </w:tc>
      </w:tr>
    </w:tbl>
    <w:p>
      <w:pPr>
        <w:pStyle w:val="2"/>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表3</w:t>
      </w:r>
    </w:p>
    <w:p>
      <w:pPr>
        <w:widowControl/>
        <w:spacing w:line="360" w:lineRule="exact"/>
        <w:jc w:val="center"/>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单位支出总体情况表</w:t>
      </w:r>
    </w:p>
    <w:p>
      <w:pPr>
        <w:widowControl/>
        <w:spacing w:line="280" w:lineRule="exact"/>
        <w:jc w:val="center"/>
        <w:outlineLvl w:val="1"/>
        <w:rPr>
          <w:rFonts w:hint="default" w:ascii="Times New Roman" w:hAnsi="Times New Roman" w:eastAsia="仿宋_GB2312" w:cs="Times New Roman"/>
          <w:b/>
          <w:kern w:val="0"/>
          <w:sz w:val="32"/>
          <w:szCs w:val="32"/>
        </w:rPr>
      </w:pPr>
    </w:p>
    <w:p>
      <w:pPr>
        <w:widowControl/>
        <w:spacing w:line="280" w:lineRule="exact"/>
        <w:jc w:val="lef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编制单位：中国共产党焉耆回族自治县委员会社会工作部          单位：万元</w:t>
      </w:r>
    </w:p>
    <w:tbl>
      <w:tblPr>
        <w:tblStyle w:val="12"/>
        <w:tblW w:w="9420"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68"/>
        <w:gridCol w:w="451"/>
        <w:gridCol w:w="451"/>
        <w:gridCol w:w="2496"/>
        <w:gridCol w:w="1802"/>
        <w:gridCol w:w="1803"/>
        <w:gridCol w:w="18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8" w:hRule="atLeast"/>
        </w:trPr>
        <w:tc>
          <w:tcPr>
            <w:tcW w:w="3966"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rPr>
            </w:pPr>
            <w:r>
              <w:rPr>
                <w:rFonts w:hint="default" w:ascii="Times New Roman" w:hAnsi="Times New Roman" w:cs="Times New Roman"/>
              </w:rPr>
              <w:t>科    目</w:t>
            </w:r>
          </w:p>
        </w:tc>
        <w:tc>
          <w:tcPr>
            <w:tcW w:w="5454" w:type="dxa"/>
            <w:gridSpan w:val="3"/>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cs="Times New Roman"/>
              </w:rPr>
            </w:pPr>
            <w:r>
              <w:rPr>
                <w:rFonts w:hint="default" w:ascii="Times New Roman" w:hAnsi="Times New Roman" w:cs="Times New Roman"/>
              </w:rPr>
              <w:t>支出预算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470"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功能分类科目编码</w:t>
            </w:r>
          </w:p>
        </w:tc>
        <w:tc>
          <w:tcPr>
            <w:tcW w:w="2496"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功能分类科目名称</w:t>
            </w:r>
          </w:p>
        </w:tc>
        <w:tc>
          <w:tcPr>
            <w:tcW w:w="1802"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合  计</w:t>
            </w:r>
          </w:p>
        </w:tc>
        <w:tc>
          <w:tcPr>
            <w:tcW w:w="1803"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基本支出</w:t>
            </w:r>
          </w:p>
        </w:tc>
        <w:tc>
          <w:tcPr>
            <w:tcW w:w="1849"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568"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类</w:t>
            </w:r>
          </w:p>
        </w:tc>
        <w:tc>
          <w:tcPr>
            <w:tcW w:w="45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款</w:t>
            </w:r>
          </w:p>
        </w:tc>
        <w:tc>
          <w:tcPr>
            <w:tcW w:w="45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b/>
                <w:bCs/>
                <w:sz w:val="20"/>
                <w:szCs w:val="20"/>
              </w:rPr>
            </w:pPr>
            <w:r>
              <w:rPr>
                <w:rFonts w:hint="default" w:ascii="Times New Roman" w:hAnsi="Times New Roman" w:cs="Times New Roman"/>
                <w:b/>
                <w:bCs/>
                <w:sz w:val="20"/>
                <w:szCs w:val="20"/>
              </w:rPr>
              <w:t>项</w:t>
            </w:r>
          </w:p>
        </w:tc>
        <w:tc>
          <w:tcPr>
            <w:tcW w:w="2496" w:type="dxa"/>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cs="Times New Roman"/>
                <w:b/>
                <w:bCs/>
                <w:sz w:val="20"/>
                <w:szCs w:val="20"/>
              </w:rPr>
            </w:pPr>
          </w:p>
        </w:tc>
        <w:tc>
          <w:tcPr>
            <w:tcW w:w="1802" w:type="dxa"/>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cs="Times New Roman"/>
                <w:b/>
                <w:bCs/>
                <w:sz w:val="20"/>
                <w:szCs w:val="20"/>
              </w:rPr>
            </w:pPr>
          </w:p>
        </w:tc>
        <w:tc>
          <w:tcPr>
            <w:tcW w:w="1803" w:type="dxa"/>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cs="Times New Roman"/>
                <w:b/>
                <w:bCs/>
                <w:sz w:val="20"/>
                <w:szCs w:val="20"/>
              </w:rPr>
            </w:pPr>
          </w:p>
        </w:tc>
        <w:tc>
          <w:tcPr>
            <w:tcW w:w="1849" w:type="dxa"/>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cs="Times New Roman"/>
                <w:b/>
                <w:bCs/>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一般公共服务支出</w:t>
            </w:r>
          </w:p>
        </w:tc>
        <w:tc>
          <w:tcPr>
            <w:tcW w:w="18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119.62　</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119.62</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39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社会工作事物</w:t>
            </w:r>
          </w:p>
        </w:tc>
        <w:tc>
          <w:tcPr>
            <w:tcW w:w="18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119.62　</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119.62　</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39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　</w:t>
            </w: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行政运行</w:t>
            </w:r>
          </w:p>
        </w:tc>
        <w:tc>
          <w:tcPr>
            <w:tcW w:w="1802" w:type="dxa"/>
            <w:tcBorders>
              <w:top w:val="nil"/>
              <w:left w:val="nil"/>
              <w:bottom w:val="single" w:color="auto" w:sz="4" w:space="0"/>
              <w:right w:val="single" w:color="auto" w:sz="4" w:space="0"/>
            </w:tcBorders>
            <w:vAlign w:val="center"/>
          </w:tcPr>
          <w:p>
            <w:pPr>
              <w:pStyle w:val="2"/>
              <w:jc w:val="right"/>
              <w:rPr>
                <w:rFonts w:hint="default" w:ascii="Times New Roman" w:hAnsi="Times New Roman" w:eastAsia="方正仿宋_GBK" w:cs="Times New Roman"/>
                <w:lang w:val="en-US" w:eastAsia="zh-CN"/>
              </w:rPr>
            </w:pPr>
            <w:r>
              <w:rPr>
                <w:rFonts w:hint="default" w:ascii="Times New Roman" w:hAnsi="Times New Roman" w:eastAsia="仿宋_GB2312" w:cs="Times New Roman"/>
                <w:sz w:val="20"/>
                <w:szCs w:val="20"/>
              </w:rPr>
              <w:t>90.03</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90.03　</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39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50　</w:t>
            </w: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事业运行</w:t>
            </w:r>
          </w:p>
        </w:tc>
        <w:tc>
          <w:tcPr>
            <w:tcW w:w="18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29.59　</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29.59　</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社会保障和就业支出</w:t>
            </w:r>
          </w:p>
        </w:tc>
        <w:tc>
          <w:tcPr>
            <w:tcW w:w="18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25.11　</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25.11　</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行政事业单位养老支出</w:t>
            </w:r>
          </w:p>
        </w:tc>
        <w:tc>
          <w:tcPr>
            <w:tcW w:w="18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25.11</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25.11</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　</w:t>
            </w: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机关事业单位基本养老保险缴费支出</w:t>
            </w:r>
          </w:p>
        </w:tc>
        <w:tc>
          <w:tcPr>
            <w:tcW w:w="18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16.74　</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16.74　</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06</w:t>
            </w: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机关事业单位职业年金缴费支出</w:t>
            </w:r>
          </w:p>
        </w:tc>
        <w:tc>
          <w:tcPr>
            <w:tcW w:w="18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8.37　</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8.37　</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卫生健康支出</w:t>
            </w:r>
          </w:p>
        </w:tc>
        <w:tc>
          <w:tcPr>
            <w:tcW w:w="18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10.07　</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10.07　</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行政事业单位医疗</w:t>
            </w:r>
          </w:p>
        </w:tc>
        <w:tc>
          <w:tcPr>
            <w:tcW w:w="18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10.07　</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10.07　</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　</w:t>
            </w: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行政单位医疗</w:t>
            </w:r>
          </w:p>
        </w:tc>
        <w:tc>
          <w:tcPr>
            <w:tcW w:w="18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5.52　</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5.52　</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11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　</w:t>
            </w: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事业单位医疗</w:t>
            </w:r>
          </w:p>
        </w:tc>
        <w:tc>
          <w:tcPr>
            <w:tcW w:w="18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　</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　</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03　</w:t>
            </w: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公务员医疗补助</w:t>
            </w:r>
          </w:p>
        </w:tc>
        <w:tc>
          <w:tcPr>
            <w:tcW w:w="18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2.34　</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2.34　</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221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住房保障支出</w:t>
            </w:r>
          </w:p>
        </w:tc>
        <w:tc>
          <w:tcPr>
            <w:tcW w:w="18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221</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02</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住房改革支出</w:t>
            </w:r>
          </w:p>
        </w:tc>
        <w:tc>
          <w:tcPr>
            <w:tcW w:w="18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12.56</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12.56</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221</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01</w:t>
            </w: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住房公积金</w:t>
            </w:r>
          </w:p>
        </w:tc>
        <w:tc>
          <w:tcPr>
            <w:tcW w:w="18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568"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451"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6"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合  计</w:t>
            </w:r>
          </w:p>
        </w:tc>
        <w:tc>
          <w:tcPr>
            <w:tcW w:w="18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167.36</w:t>
            </w:r>
          </w:p>
        </w:tc>
        <w:tc>
          <w:tcPr>
            <w:tcW w:w="180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167.36</w:t>
            </w:r>
          </w:p>
        </w:tc>
        <w:tc>
          <w:tcPr>
            <w:tcW w:w="1849"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bl>
    <w:p>
      <w:pPr>
        <w:widowControl/>
        <w:jc w:val="left"/>
        <w:textAlignment w:val="bottom"/>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表4</w:t>
      </w:r>
    </w:p>
    <w:p>
      <w:pPr>
        <w:widowControl/>
        <w:spacing w:before="156" w:beforeLines="50" w:line="280" w:lineRule="exact"/>
        <w:jc w:val="center"/>
        <w:outlineLvl w:val="1"/>
        <w:rPr>
          <w:rFonts w:hint="default" w:ascii="Times New Roman" w:hAnsi="Times New Roman" w:eastAsia="仿宋_GB2312" w:cs="Times New Roman"/>
          <w:b/>
          <w:kern w:val="0"/>
          <w:sz w:val="32"/>
          <w:szCs w:val="32"/>
        </w:rPr>
      </w:pPr>
      <w:r>
        <w:rPr>
          <w:rFonts w:hint="default" w:ascii="Times New Roman" w:hAnsi="Times New Roman" w:eastAsia="仿宋_GB2312" w:cs="Times New Roman"/>
          <w:b/>
          <w:kern w:val="0"/>
          <w:sz w:val="32"/>
          <w:szCs w:val="32"/>
        </w:rPr>
        <w:t>财政拨款收支预算总体情况表</w:t>
      </w:r>
    </w:p>
    <w:p>
      <w:pPr>
        <w:widowControl/>
        <w:spacing w:before="156" w:beforeLines="50" w:line="280" w:lineRule="exact"/>
        <w:jc w:val="left"/>
        <w:outlineLvl w:val="1"/>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编制单位：中国共产党焉耆回族自治县委员会社会工作部         单位：万元</w:t>
      </w:r>
    </w:p>
    <w:tbl>
      <w:tblPr>
        <w:tblStyle w:val="12"/>
        <w:tblW w:w="9644" w:type="dxa"/>
        <w:tblInd w:w="-2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929"/>
        <w:gridCol w:w="913"/>
        <w:gridCol w:w="2735"/>
        <w:gridCol w:w="920"/>
        <w:gridCol w:w="1027"/>
        <w:gridCol w:w="92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2842" w:type="dxa"/>
            <w:gridSpan w:val="2"/>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财政拨款收入</w:t>
            </w:r>
          </w:p>
        </w:tc>
        <w:tc>
          <w:tcPr>
            <w:tcW w:w="6802" w:type="dxa"/>
            <w:gridSpan w:val="5"/>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财政拨款支出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929"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项    目</w:t>
            </w:r>
          </w:p>
        </w:tc>
        <w:tc>
          <w:tcPr>
            <w:tcW w:w="913"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合  计</w:t>
            </w:r>
          </w:p>
        </w:tc>
        <w:tc>
          <w:tcPr>
            <w:tcW w:w="2735"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功  能  分  类</w:t>
            </w:r>
          </w:p>
        </w:tc>
        <w:tc>
          <w:tcPr>
            <w:tcW w:w="92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合 计</w:t>
            </w:r>
          </w:p>
        </w:tc>
        <w:tc>
          <w:tcPr>
            <w:tcW w:w="102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一般公共预算</w:t>
            </w:r>
          </w:p>
        </w:tc>
        <w:tc>
          <w:tcPr>
            <w:tcW w:w="92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政府性基金预算</w:t>
            </w:r>
          </w:p>
        </w:tc>
        <w:tc>
          <w:tcPr>
            <w:tcW w:w="1200"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sz w:val="22"/>
                <w:szCs w:val="22"/>
              </w:rPr>
            </w:pPr>
            <w:r>
              <w:rPr>
                <w:rFonts w:hint="default" w:ascii="Times New Roman" w:hAnsi="Times New Roman" w:eastAsia="仿宋_GB2312" w:cs="Times New Roman"/>
                <w:b/>
                <w:bCs/>
                <w:sz w:val="22"/>
                <w:szCs w:val="22"/>
              </w:rPr>
              <w:t>国有资本经营预算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一、财政拨款（补助）</w:t>
            </w:r>
          </w:p>
        </w:tc>
        <w:tc>
          <w:tcPr>
            <w:tcW w:w="91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167.36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201 一般公共服务支出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119.62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119.62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一般公共预算</w:t>
            </w:r>
          </w:p>
        </w:tc>
        <w:tc>
          <w:tcPr>
            <w:tcW w:w="91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167.36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202 外交支出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政府性基金预算</w:t>
            </w:r>
          </w:p>
        </w:tc>
        <w:tc>
          <w:tcPr>
            <w:tcW w:w="91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203 国防支出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国有资本经营预算</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204 公共安全支出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205 教育支出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206 科学技术支出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207 文化旅游体育与传媒支出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208 社会保障和就业支出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25.11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25.11</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xml:space="preserve">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209 社会保险基金支出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210 卫生健康支出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10.07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10.07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211 节能环保支出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212 城乡社区支出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213 农林水支出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214 交通运输支出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215 资源勘探工业信息等支出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216 商业服务业等支出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217 金融支出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219 援助其他地区支出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220 自然资源海洋气象等支出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221 住房保障支出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222 粮油物资储备支出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223 国有资本经营预算支出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224 灾害防治及应急管理支出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227 预备费</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229 其他支出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230 转移性支出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231 债务还本支出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232 债务付息支出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233 债务发行费用支出</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913" w:type="dxa"/>
            <w:tcBorders>
              <w:top w:val="nil"/>
              <w:left w:val="nil"/>
              <w:bottom w:val="single" w:color="auto" w:sz="4" w:space="0"/>
              <w:right w:val="single" w:color="auto" w:sz="4" w:space="0"/>
            </w:tcBorders>
            <w:vAlign w:val="bottom"/>
          </w:tcPr>
          <w:p>
            <w:pPr>
              <w:jc w:val="right"/>
              <w:rPr>
                <w:rFonts w:hint="default" w:ascii="Times New Roman" w:hAnsi="Times New Roman" w:eastAsia="仿宋_GB2312" w:cs="Times New Roman"/>
                <w:sz w:val="20"/>
                <w:szCs w:val="20"/>
              </w:rPr>
            </w:pP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120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exact"/>
        </w:trPr>
        <w:tc>
          <w:tcPr>
            <w:tcW w:w="1929" w:type="dxa"/>
            <w:tcBorders>
              <w:top w:val="nil"/>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收  入  总  计</w:t>
            </w:r>
          </w:p>
        </w:tc>
        <w:tc>
          <w:tcPr>
            <w:tcW w:w="913"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167.36　</w:t>
            </w:r>
          </w:p>
        </w:tc>
        <w:tc>
          <w:tcPr>
            <w:tcW w:w="2735"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rPr>
            </w:pPr>
            <w:r>
              <w:rPr>
                <w:rFonts w:hint="default" w:ascii="Times New Roman" w:hAnsi="Times New Roman" w:eastAsia="仿宋_GB2312" w:cs="Times New Roman"/>
              </w:rPr>
              <w:t>支  出  总  计</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167.36　</w:t>
            </w:r>
          </w:p>
        </w:tc>
        <w:tc>
          <w:tcPr>
            <w:tcW w:w="102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167.36　</w:t>
            </w:r>
          </w:p>
        </w:tc>
        <w:tc>
          <w:tcPr>
            <w:tcW w:w="920"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r>
              <w:rPr>
                <w:rFonts w:hint="default" w:ascii="Times New Roman" w:hAnsi="Times New Roman" w:eastAsia="仿宋_GB2312" w:cs="Times New Roman"/>
              </w:rPr>
              <w:t>　</w:t>
            </w:r>
          </w:p>
        </w:tc>
        <w:tc>
          <w:tcPr>
            <w:tcW w:w="1200"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p>
        </w:tc>
      </w:tr>
    </w:tbl>
    <w:p>
      <w:pPr>
        <w:widowControl/>
        <w:jc w:val="left"/>
        <w:textAlignment w:val="bottom"/>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表5</w:t>
      </w:r>
    </w:p>
    <w:tbl>
      <w:tblPr>
        <w:tblStyle w:val="12"/>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7"/>
        <w:gridCol w:w="499"/>
        <w:gridCol w:w="502"/>
        <w:gridCol w:w="2493"/>
        <w:gridCol w:w="1677"/>
        <w:gridCol w:w="1834"/>
        <w:gridCol w:w="1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9214" w:type="dxa"/>
            <w:gridSpan w:val="7"/>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32"/>
                <w:szCs w:val="32"/>
              </w:rPr>
            </w:pPr>
            <w:r>
              <w:rPr>
                <w:rFonts w:hint="default" w:ascii="Times New Roman" w:hAnsi="Times New Roman" w:eastAsia="仿宋_GB2312" w:cs="Times New Roman"/>
                <w:b/>
                <w:kern w:val="0"/>
                <w:sz w:val="32"/>
                <w:szCs w:val="32"/>
              </w:rPr>
              <w:t>一般公共预算支出情况表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214" w:type="dxa"/>
            <w:gridSpan w:val="7"/>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编制单位：中国共产党焉耆回族自治县委员会社会工作部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4011" w:type="dxa"/>
            <w:gridSpan w:val="4"/>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科  目</w:t>
            </w:r>
          </w:p>
        </w:tc>
        <w:tc>
          <w:tcPr>
            <w:tcW w:w="5203" w:type="dxa"/>
            <w:gridSpan w:val="3"/>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一般公共预算支出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1518" w:type="dxa"/>
            <w:gridSpan w:val="3"/>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功能分类科目编码</w:t>
            </w:r>
          </w:p>
        </w:tc>
        <w:tc>
          <w:tcPr>
            <w:tcW w:w="2493"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功能分类科目名称</w:t>
            </w:r>
          </w:p>
        </w:tc>
        <w:tc>
          <w:tcPr>
            <w:tcW w:w="1677"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合  计</w:t>
            </w:r>
          </w:p>
        </w:tc>
        <w:tc>
          <w:tcPr>
            <w:tcW w:w="1834"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基本支出</w:t>
            </w:r>
          </w:p>
        </w:tc>
        <w:tc>
          <w:tcPr>
            <w:tcW w:w="1692"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51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类</w:t>
            </w:r>
          </w:p>
        </w:tc>
        <w:tc>
          <w:tcPr>
            <w:tcW w:w="499"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款</w:t>
            </w:r>
          </w:p>
        </w:tc>
        <w:tc>
          <w:tcPr>
            <w:tcW w:w="502"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项</w:t>
            </w:r>
          </w:p>
        </w:tc>
        <w:tc>
          <w:tcPr>
            <w:tcW w:w="2493" w:type="dxa"/>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cs="Times New Roman"/>
              </w:rPr>
            </w:pPr>
          </w:p>
        </w:tc>
        <w:tc>
          <w:tcPr>
            <w:tcW w:w="1677" w:type="dxa"/>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cs="Times New Roman"/>
              </w:rPr>
            </w:pPr>
          </w:p>
        </w:tc>
        <w:tc>
          <w:tcPr>
            <w:tcW w:w="1834" w:type="dxa"/>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cs="Times New Roman"/>
              </w:rPr>
            </w:pPr>
          </w:p>
        </w:tc>
        <w:tc>
          <w:tcPr>
            <w:tcW w:w="1692" w:type="dxa"/>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9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一般公共服务支出</w:t>
            </w:r>
          </w:p>
        </w:tc>
        <w:tc>
          <w:tcPr>
            <w:tcW w:w="167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119.62　</w:t>
            </w:r>
          </w:p>
        </w:tc>
        <w:tc>
          <w:tcPr>
            <w:tcW w:w="18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119.62</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9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39　</w:t>
            </w:r>
          </w:p>
        </w:tc>
        <w:tc>
          <w:tcPr>
            <w:tcW w:w="5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社会工作事物</w:t>
            </w:r>
          </w:p>
        </w:tc>
        <w:tc>
          <w:tcPr>
            <w:tcW w:w="167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119.62　</w:t>
            </w:r>
          </w:p>
        </w:tc>
        <w:tc>
          <w:tcPr>
            <w:tcW w:w="18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119.62　</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9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39　</w:t>
            </w:r>
          </w:p>
        </w:tc>
        <w:tc>
          <w:tcPr>
            <w:tcW w:w="5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　</w:t>
            </w:r>
          </w:p>
        </w:tc>
        <w:tc>
          <w:tcPr>
            <w:tcW w:w="24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行政运行</w:t>
            </w:r>
          </w:p>
        </w:tc>
        <w:tc>
          <w:tcPr>
            <w:tcW w:w="167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90.03　</w:t>
            </w:r>
          </w:p>
        </w:tc>
        <w:tc>
          <w:tcPr>
            <w:tcW w:w="18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90.03　</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201　</w:t>
            </w:r>
          </w:p>
        </w:tc>
        <w:tc>
          <w:tcPr>
            <w:tcW w:w="49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39　</w:t>
            </w:r>
          </w:p>
        </w:tc>
        <w:tc>
          <w:tcPr>
            <w:tcW w:w="5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50　</w:t>
            </w:r>
          </w:p>
        </w:tc>
        <w:tc>
          <w:tcPr>
            <w:tcW w:w="24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事业运行</w:t>
            </w:r>
          </w:p>
        </w:tc>
        <w:tc>
          <w:tcPr>
            <w:tcW w:w="167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29.59　</w:t>
            </w:r>
          </w:p>
        </w:tc>
        <w:tc>
          <w:tcPr>
            <w:tcW w:w="18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29.59　</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　</w:t>
            </w:r>
          </w:p>
        </w:tc>
        <w:tc>
          <w:tcPr>
            <w:tcW w:w="49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社会保障和就业支出</w:t>
            </w:r>
          </w:p>
        </w:tc>
        <w:tc>
          <w:tcPr>
            <w:tcW w:w="167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25.11　</w:t>
            </w:r>
          </w:p>
        </w:tc>
        <w:tc>
          <w:tcPr>
            <w:tcW w:w="18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25.11　</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　</w:t>
            </w:r>
          </w:p>
        </w:tc>
        <w:tc>
          <w:tcPr>
            <w:tcW w:w="49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　</w:t>
            </w:r>
          </w:p>
        </w:tc>
        <w:tc>
          <w:tcPr>
            <w:tcW w:w="5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行政事业单位养老支出</w:t>
            </w:r>
          </w:p>
        </w:tc>
        <w:tc>
          <w:tcPr>
            <w:tcW w:w="167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25.11</w:t>
            </w:r>
          </w:p>
        </w:tc>
        <w:tc>
          <w:tcPr>
            <w:tcW w:w="18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25.11</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　</w:t>
            </w:r>
          </w:p>
        </w:tc>
        <w:tc>
          <w:tcPr>
            <w:tcW w:w="49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　</w:t>
            </w:r>
          </w:p>
        </w:tc>
        <w:tc>
          <w:tcPr>
            <w:tcW w:w="5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　</w:t>
            </w:r>
          </w:p>
        </w:tc>
        <w:tc>
          <w:tcPr>
            <w:tcW w:w="24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机关事业单位基本养老保险缴费支出</w:t>
            </w:r>
          </w:p>
        </w:tc>
        <w:tc>
          <w:tcPr>
            <w:tcW w:w="167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16.74　</w:t>
            </w:r>
          </w:p>
        </w:tc>
        <w:tc>
          <w:tcPr>
            <w:tcW w:w="18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16.74　</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208　</w:t>
            </w:r>
          </w:p>
        </w:tc>
        <w:tc>
          <w:tcPr>
            <w:tcW w:w="49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5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06</w:t>
            </w:r>
          </w:p>
        </w:tc>
        <w:tc>
          <w:tcPr>
            <w:tcW w:w="24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机关事业单位职业年金缴费支出</w:t>
            </w:r>
          </w:p>
        </w:tc>
        <w:tc>
          <w:tcPr>
            <w:tcW w:w="167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8.37　</w:t>
            </w:r>
          </w:p>
        </w:tc>
        <w:tc>
          <w:tcPr>
            <w:tcW w:w="18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8.37　</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w:t>
            </w:r>
          </w:p>
        </w:tc>
        <w:tc>
          <w:tcPr>
            <w:tcW w:w="49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卫生健康支出</w:t>
            </w:r>
          </w:p>
        </w:tc>
        <w:tc>
          <w:tcPr>
            <w:tcW w:w="167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10.07　</w:t>
            </w:r>
          </w:p>
        </w:tc>
        <w:tc>
          <w:tcPr>
            <w:tcW w:w="18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10.07　</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　</w:t>
            </w:r>
          </w:p>
        </w:tc>
        <w:tc>
          <w:tcPr>
            <w:tcW w:w="49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　</w:t>
            </w:r>
          </w:p>
        </w:tc>
        <w:tc>
          <w:tcPr>
            <w:tcW w:w="5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行政事业单位医疗</w:t>
            </w:r>
          </w:p>
        </w:tc>
        <w:tc>
          <w:tcPr>
            <w:tcW w:w="167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10.07　</w:t>
            </w:r>
          </w:p>
        </w:tc>
        <w:tc>
          <w:tcPr>
            <w:tcW w:w="18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10.07　</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　</w:t>
            </w:r>
          </w:p>
        </w:tc>
        <w:tc>
          <w:tcPr>
            <w:tcW w:w="49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　</w:t>
            </w:r>
          </w:p>
        </w:tc>
        <w:tc>
          <w:tcPr>
            <w:tcW w:w="5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　</w:t>
            </w:r>
          </w:p>
        </w:tc>
        <w:tc>
          <w:tcPr>
            <w:tcW w:w="24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行政单位医疗</w:t>
            </w:r>
          </w:p>
        </w:tc>
        <w:tc>
          <w:tcPr>
            <w:tcW w:w="167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5.52　</w:t>
            </w:r>
          </w:p>
        </w:tc>
        <w:tc>
          <w:tcPr>
            <w:tcW w:w="18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5.52　</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210　</w:t>
            </w:r>
          </w:p>
        </w:tc>
        <w:tc>
          <w:tcPr>
            <w:tcW w:w="49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11　</w:t>
            </w:r>
          </w:p>
        </w:tc>
        <w:tc>
          <w:tcPr>
            <w:tcW w:w="5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02　</w:t>
            </w:r>
          </w:p>
        </w:tc>
        <w:tc>
          <w:tcPr>
            <w:tcW w:w="24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事业单位医疗</w:t>
            </w:r>
          </w:p>
        </w:tc>
        <w:tc>
          <w:tcPr>
            <w:tcW w:w="167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　</w:t>
            </w:r>
          </w:p>
        </w:tc>
        <w:tc>
          <w:tcPr>
            <w:tcW w:w="18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kern w:val="2"/>
                <w:sz w:val="20"/>
                <w:szCs w:val="20"/>
                <w:lang w:val="en-US" w:eastAsia="zh-CN" w:bidi="ar-SA"/>
              </w:rPr>
            </w:pPr>
            <w:r>
              <w:rPr>
                <w:rFonts w:hint="default" w:ascii="Times New Roman" w:hAnsi="Times New Roman" w:eastAsia="仿宋_GB2312" w:cs="Times New Roman"/>
                <w:sz w:val="20"/>
                <w:szCs w:val="20"/>
              </w:rPr>
              <w:t>2.21　</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210　</w:t>
            </w:r>
          </w:p>
        </w:tc>
        <w:tc>
          <w:tcPr>
            <w:tcW w:w="49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　</w:t>
            </w:r>
          </w:p>
        </w:tc>
        <w:tc>
          <w:tcPr>
            <w:tcW w:w="5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03　</w:t>
            </w:r>
          </w:p>
        </w:tc>
        <w:tc>
          <w:tcPr>
            <w:tcW w:w="24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公务员医疗补助</w:t>
            </w:r>
          </w:p>
        </w:tc>
        <w:tc>
          <w:tcPr>
            <w:tcW w:w="167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2.34　</w:t>
            </w:r>
          </w:p>
        </w:tc>
        <w:tc>
          <w:tcPr>
            <w:tcW w:w="18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2.34　</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221　</w:t>
            </w:r>
          </w:p>
        </w:tc>
        <w:tc>
          <w:tcPr>
            <w:tcW w:w="49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4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住房保障支出</w:t>
            </w:r>
          </w:p>
        </w:tc>
        <w:tc>
          <w:tcPr>
            <w:tcW w:w="167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18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tabs>
                <w:tab w:val="left" w:pos="231"/>
              </w:tabs>
              <w:jc w:val="lef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221</w:t>
            </w:r>
          </w:p>
        </w:tc>
        <w:tc>
          <w:tcPr>
            <w:tcW w:w="49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02</w:t>
            </w:r>
          </w:p>
        </w:tc>
        <w:tc>
          <w:tcPr>
            <w:tcW w:w="5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p>
        </w:tc>
        <w:tc>
          <w:tcPr>
            <w:tcW w:w="24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住房改革支出</w:t>
            </w:r>
          </w:p>
        </w:tc>
        <w:tc>
          <w:tcPr>
            <w:tcW w:w="167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12.56</w:t>
            </w:r>
          </w:p>
        </w:tc>
        <w:tc>
          <w:tcPr>
            <w:tcW w:w="18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lang w:val="en-US" w:eastAsia="zh-CN"/>
              </w:rPr>
            </w:pPr>
            <w:r>
              <w:rPr>
                <w:rFonts w:hint="default" w:ascii="Times New Roman" w:hAnsi="Times New Roman" w:eastAsia="仿宋_GB2312" w:cs="Times New Roman"/>
                <w:sz w:val="20"/>
                <w:szCs w:val="20"/>
                <w:lang w:val="en-US" w:eastAsia="zh-CN"/>
              </w:rPr>
              <w:t>12.56</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221</w:t>
            </w:r>
          </w:p>
        </w:tc>
        <w:tc>
          <w:tcPr>
            <w:tcW w:w="499"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502"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2493"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lang w:eastAsia="zh-CN"/>
              </w:rPr>
            </w:pPr>
            <w:r>
              <w:rPr>
                <w:rFonts w:hint="default" w:ascii="Times New Roman" w:hAnsi="Times New Roman" w:eastAsia="仿宋_GB2312" w:cs="Times New Roman"/>
                <w:sz w:val="20"/>
                <w:szCs w:val="20"/>
              </w:rPr>
              <w:t>住房</w:t>
            </w:r>
            <w:r>
              <w:rPr>
                <w:rFonts w:hint="default" w:ascii="Times New Roman" w:hAnsi="Times New Roman" w:eastAsia="仿宋_GB2312" w:cs="Times New Roman"/>
                <w:sz w:val="20"/>
                <w:szCs w:val="20"/>
                <w:lang w:eastAsia="zh-CN"/>
              </w:rPr>
              <w:t>公积金</w:t>
            </w:r>
          </w:p>
        </w:tc>
        <w:tc>
          <w:tcPr>
            <w:tcW w:w="1677"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1834"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12.56　</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499"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502"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rPr>
            </w:pPr>
          </w:p>
        </w:tc>
        <w:tc>
          <w:tcPr>
            <w:tcW w:w="2493" w:type="dxa"/>
            <w:tcBorders>
              <w:top w:val="nil"/>
              <w:left w:val="nil"/>
              <w:bottom w:val="single" w:color="auto" w:sz="4" w:space="0"/>
              <w:right w:val="single" w:color="auto" w:sz="4" w:space="0"/>
            </w:tcBorders>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合  计</w:t>
            </w:r>
          </w:p>
        </w:tc>
        <w:tc>
          <w:tcPr>
            <w:tcW w:w="167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167.36</w:t>
            </w:r>
          </w:p>
        </w:tc>
        <w:tc>
          <w:tcPr>
            <w:tcW w:w="1834"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167.36</w:t>
            </w:r>
          </w:p>
        </w:tc>
        <w:tc>
          <w:tcPr>
            <w:tcW w:w="1692" w:type="dxa"/>
            <w:tcBorders>
              <w:top w:val="nil"/>
              <w:left w:val="nil"/>
              <w:bottom w:val="single" w:color="auto" w:sz="4" w:space="0"/>
              <w:right w:val="single" w:color="auto" w:sz="4" w:space="0"/>
            </w:tcBorders>
            <w:vAlign w:val="center"/>
          </w:tcPr>
          <w:p>
            <w:pPr>
              <w:jc w:val="right"/>
              <w:rPr>
                <w:rFonts w:hint="default" w:ascii="Times New Roman" w:hAnsi="Times New Roman" w:cs="Times New Roman"/>
              </w:rPr>
            </w:pPr>
          </w:p>
        </w:tc>
      </w:tr>
    </w:tbl>
    <w:p>
      <w:pPr>
        <w:widowControl/>
        <w:jc w:val="left"/>
        <w:textAlignment w:val="bottom"/>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widowControl/>
        <w:jc w:val="left"/>
        <w:textAlignment w:val="bottom"/>
        <w:rPr>
          <w:rFonts w:hint="default" w:ascii="Times New Roman" w:hAnsi="Times New Roman" w:cs="Times New Roman"/>
          <w:kern w:val="0"/>
          <w:sz w:val="20"/>
          <w:szCs w:val="20"/>
        </w:rPr>
      </w:pPr>
      <w:r>
        <w:rPr>
          <w:rFonts w:hint="default" w:ascii="Times New Roman" w:hAnsi="Times New Roman" w:cs="Times New Roman"/>
          <w:kern w:val="0"/>
          <w:sz w:val="20"/>
          <w:szCs w:val="20"/>
        </w:rPr>
        <w:t>表6</w:t>
      </w:r>
    </w:p>
    <w:tbl>
      <w:tblPr>
        <w:tblStyle w:val="12"/>
        <w:tblW w:w="9328" w:type="dxa"/>
        <w:tblInd w:w="-1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57"/>
        <w:gridCol w:w="577"/>
        <w:gridCol w:w="2891"/>
        <w:gridCol w:w="1701"/>
        <w:gridCol w:w="1701"/>
        <w:gridCol w:w="17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9328" w:type="dxa"/>
            <w:gridSpan w:val="6"/>
            <w:tcBorders>
              <w:top w:val="nil"/>
              <w:left w:val="nil"/>
              <w:bottom w:val="nil"/>
              <w:right w:val="nil"/>
            </w:tcBorders>
            <w:vAlign w:val="center"/>
          </w:tcPr>
          <w:p>
            <w:pPr>
              <w:widowControl/>
              <w:jc w:val="center"/>
              <w:rPr>
                <w:rFonts w:hint="default" w:ascii="Times New Roman" w:hAnsi="Times New Roman" w:eastAsia="方正小标宋_GBK" w:cs="Times New Roman"/>
                <w:kern w:val="0"/>
                <w:sz w:val="32"/>
                <w:szCs w:val="32"/>
              </w:rPr>
            </w:pPr>
            <w:r>
              <w:rPr>
                <w:rFonts w:hint="default" w:ascii="Times New Roman" w:hAnsi="Times New Roman" w:eastAsia="仿宋_GB2312" w:cs="Times New Roman"/>
                <w:b/>
                <w:kern w:val="0"/>
                <w:sz w:val="32"/>
                <w:szCs w:val="32"/>
              </w:rPr>
              <w:t>一般公共预算基本支出情况表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 w:hRule="atLeast"/>
        </w:trPr>
        <w:tc>
          <w:tcPr>
            <w:tcW w:w="9328" w:type="dxa"/>
            <w:gridSpan w:val="6"/>
            <w:tcBorders>
              <w:top w:val="nil"/>
              <w:left w:val="nil"/>
              <w:bottom w:val="nil"/>
              <w:right w:val="nil"/>
            </w:tcBorders>
            <w:vAlign w:val="center"/>
          </w:tcPr>
          <w:p>
            <w:pPr>
              <w:widowControl/>
              <w:jc w:val="left"/>
              <w:rPr>
                <w:rFonts w:hint="default" w:ascii="Times New Roman" w:hAnsi="Times New Roman" w:eastAsia="仿宋_GB2312" w:cs="Times New Roman"/>
                <w:kern w:val="0"/>
                <w:sz w:val="24"/>
              </w:rPr>
            </w:pPr>
            <w:r>
              <w:rPr>
                <w:rFonts w:hint="default" w:ascii="Times New Roman" w:hAnsi="Times New Roman" w:eastAsia="仿宋_GB2312" w:cs="Times New Roman"/>
                <w:kern w:val="0"/>
                <w:sz w:val="24"/>
              </w:rPr>
              <w:t>编制单位：中国共产党焉耆回族自治县委员会社会工作部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4" w:hRule="atLeast"/>
        </w:trPr>
        <w:tc>
          <w:tcPr>
            <w:tcW w:w="4225" w:type="dxa"/>
            <w:gridSpan w:val="3"/>
            <w:tcBorders>
              <w:top w:val="single" w:color="auto" w:sz="4" w:space="0"/>
              <w:left w:val="single" w:color="auto" w:sz="4" w:space="0"/>
              <w:bottom w:val="single" w:color="auto" w:sz="4" w:space="0"/>
              <w:right w:val="single" w:color="000000"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科  目</w:t>
            </w:r>
          </w:p>
        </w:tc>
        <w:tc>
          <w:tcPr>
            <w:tcW w:w="5103" w:type="dxa"/>
            <w:gridSpan w:val="3"/>
            <w:tcBorders>
              <w:top w:val="single" w:color="auto" w:sz="4" w:space="0"/>
              <w:left w:val="nil"/>
              <w:bottom w:val="single" w:color="auto" w:sz="4" w:space="0"/>
              <w:right w:val="single" w:color="000000"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334" w:type="dxa"/>
            <w:gridSpan w:val="2"/>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经济分类科目编码</w:t>
            </w:r>
          </w:p>
        </w:tc>
        <w:tc>
          <w:tcPr>
            <w:tcW w:w="2891"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经济分类科目名称</w:t>
            </w:r>
          </w:p>
        </w:tc>
        <w:tc>
          <w:tcPr>
            <w:tcW w:w="1701"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合  计</w:t>
            </w:r>
          </w:p>
        </w:tc>
        <w:tc>
          <w:tcPr>
            <w:tcW w:w="1701"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人员经费</w:t>
            </w:r>
          </w:p>
        </w:tc>
        <w:tc>
          <w:tcPr>
            <w:tcW w:w="1701" w:type="dxa"/>
            <w:vMerge w:val="restart"/>
            <w:tcBorders>
              <w:top w:val="nil"/>
              <w:left w:val="single" w:color="auto" w:sz="4" w:space="0"/>
              <w:bottom w:val="single" w:color="000000"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757"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类</w:t>
            </w:r>
          </w:p>
        </w:tc>
        <w:tc>
          <w:tcPr>
            <w:tcW w:w="577"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款</w:t>
            </w:r>
          </w:p>
        </w:tc>
        <w:tc>
          <w:tcPr>
            <w:tcW w:w="2891" w:type="dxa"/>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cs="Times New Roman"/>
              </w:rPr>
            </w:pPr>
          </w:p>
        </w:tc>
        <w:tc>
          <w:tcPr>
            <w:tcW w:w="1701" w:type="dxa"/>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cs="Times New Roman"/>
              </w:rPr>
            </w:pPr>
          </w:p>
        </w:tc>
        <w:tc>
          <w:tcPr>
            <w:tcW w:w="1701" w:type="dxa"/>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cs="Times New Roman"/>
              </w:rPr>
            </w:pPr>
          </w:p>
        </w:tc>
        <w:tc>
          <w:tcPr>
            <w:tcW w:w="1701" w:type="dxa"/>
            <w:vMerge w:val="continue"/>
            <w:tcBorders>
              <w:top w:val="nil"/>
              <w:left w:val="single" w:color="auto" w:sz="4" w:space="0"/>
              <w:bottom w:val="single" w:color="000000" w:sz="4" w:space="0"/>
              <w:right w:val="single" w:color="auto" w:sz="4" w:space="0"/>
            </w:tcBorders>
            <w:vAlign w:val="center"/>
          </w:tcPr>
          <w:p>
            <w:pPr>
              <w:rPr>
                <w:rFonts w:hint="default" w:ascii="Times New Roman" w:hAnsi="Times New Roman" w:cs="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工资福利支出</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159.98</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159.98</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基本工资</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51.65</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51.65</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津贴补贴</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60.00</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60.00</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08</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机关事业单位基本养老保险缴费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16.74</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16.74</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09</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职业年金缴费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8.37</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8.37</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10</w:t>
            </w:r>
          </w:p>
        </w:tc>
        <w:tc>
          <w:tcPr>
            <w:tcW w:w="2891" w:type="dxa"/>
            <w:tcBorders>
              <w:top w:val="nil"/>
              <w:left w:val="nil"/>
              <w:bottom w:val="single" w:color="auto" w:sz="4" w:space="0"/>
              <w:right w:val="single" w:color="auto" w:sz="4" w:space="0"/>
            </w:tcBorders>
            <w:shd w:val="clear" w:color="auto" w:fill="auto"/>
            <w:vAlign w:val="center"/>
          </w:tcPr>
          <w:p>
            <w:pPr>
              <w:jc w:val="left"/>
              <w:rPr>
                <w:rFonts w:hint="eastAsia" w:ascii="Times New Roman" w:hAnsi="Times New Roman" w:eastAsia="仿宋_GB2312" w:cs="Times New Roman"/>
                <w:sz w:val="20"/>
                <w:szCs w:val="20"/>
                <w:lang w:val="en-US" w:eastAsia="zh-CN"/>
              </w:rPr>
            </w:pPr>
            <w:r>
              <w:rPr>
                <w:rFonts w:hint="eastAsia" w:eastAsia="仿宋_GB2312" w:cs="Times New Roman"/>
                <w:sz w:val="20"/>
                <w:szCs w:val="20"/>
                <w:lang w:val="en-US" w:eastAsia="zh-CN"/>
              </w:rPr>
              <w:t>职工基本医疗保险缴费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7.58</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7.58</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11</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lang w:val="en-US" w:eastAsia="zh-CN"/>
              </w:rPr>
            </w:pPr>
            <w:r>
              <w:rPr>
                <w:rFonts w:hint="eastAsia" w:eastAsia="仿宋_GB2312" w:cs="Times New Roman"/>
                <w:sz w:val="20"/>
                <w:szCs w:val="20"/>
                <w:lang w:eastAsia="zh-CN"/>
              </w:rPr>
              <w:t>公务员医疗补助缴费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2.34</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2.34</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　</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其他社会保障缴费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0.74</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0.74</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301</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13</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住房公积金</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12.56</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12.56</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商品与服务支出</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7.38</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01</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办公费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2.27</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02</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印刷费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0.44</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05</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水费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0.40</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06</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电费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0.48</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07</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邮电费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0.52</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08</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取暖费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2.03</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28</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工会经费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0.02</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29</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福利费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0.02</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302</w:t>
            </w:r>
          </w:p>
        </w:tc>
        <w:tc>
          <w:tcPr>
            <w:tcW w:w="577"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31</w:t>
            </w:r>
          </w:p>
        </w:tc>
        <w:tc>
          <w:tcPr>
            <w:tcW w:w="2891" w:type="dxa"/>
            <w:tcBorders>
              <w:top w:val="nil"/>
              <w:left w:val="nil"/>
              <w:bottom w:val="single" w:color="auto" w:sz="4" w:space="0"/>
              <w:right w:val="single" w:color="auto" w:sz="4" w:space="0"/>
            </w:tcBorders>
            <w:shd w:val="clear" w:color="auto" w:fill="auto"/>
            <w:vAlign w:val="center"/>
          </w:tcPr>
          <w:p>
            <w:pPr>
              <w:jc w:val="lef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公务用车运行维护费</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1.20</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577" w:type="dxa"/>
            <w:tcBorders>
              <w:top w:val="nil"/>
              <w:left w:val="nil"/>
              <w:bottom w:val="single" w:color="auto" w:sz="4" w:space="0"/>
              <w:right w:val="single" w:color="auto" w:sz="4" w:space="0"/>
            </w:tcBorders>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　</w:t>
            </w:r>
          </w:p>
        </w:tc>
        <w:tc>
          <w:tcPr>
            <w:tcW w:w="2891" w:type="dxa"/>
            <w:tcBorders>
              <w:top w:val="nil"/>
              <w:left w:val="nil"/>
              <w:bottom w:val="single" w:color="auto" w:sz="4" w:space="0"/>
              <w:right w:val="single" w:color="auto" w:sz="4" w:space="0"/>
            </w:tcBorders>
            <w:vAlign w:val="center"/>
          </w:tcPr>
          <w:p>
            <w:pPr>
              <w:jc w:val="center"/>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合  计</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167.36</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159.98</w:t>
            </w:r>
          </w:p>
        </w:tc>
        <w:tc>
          <w:tcPr>
            <w:tcW w:w="1701" w:type="dxa"/>
            <w:tcBorders>
              <w:top w:val="nil"/>
              <w:left w:val="nil"/>
              <w:bottom w:val="single" w:color="auto" w:sz="4" w:space="0"/>
              <w:right w:val="single" w:color="auto" w:sz="4" w:space="0"/>
            </w:tcBorders>
            <w:shd w:val="clear" w:color="auto" w:fill="auto"/>
            <w:vAlign w:val="center"/>
          </w:tcPr>
          <w:p>
            <w:pPr>
              <w:jc w:val="right"/>
              <w:rPr>
                <w:rFonts w:hint="default" w:ascii="Times New Roman" w:hAnsi="Times New Roman" w:eastAsia="仿宋_GB2312" w:cs="Times New Roman"/>
                <w:sz w:val="20"/>
                <w:szCs w:val="20"/>
              </w:rPr>
            </w:pPr>
            <w:r>
              <w:rPr>
                <w:rFonts w:hint="default" w:ascii="Times New Roman" w:hAnsi="Times New Roman" w:eastAsia="仿宋_GB2312" w:cs="Times New Roman"/>
                <w:sz w:val="20"/>
                <w:szCs w:val="20"/>
              </w:rPr>
              <w:t>7.38</w:t>
            </w:r>
          </w:p>
        </w:tc>
      </w:tr>
    </w:tbl>
    <w:p>
      <w:pPr>
        <w:widowControl/>
        <w:jc w:val="left"/>
        <w:textAlignment w:val="bottom"/>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default" w:ascii="Times New Roman" w:hAnsi="Times New Roman" w:cs="Times New Roman"/>
          <w:kern w:val="0"/>
          <w:sz w:val="20"/>
          <w:szCs w:val="20"/>
        </w:rPr>
      </w:pPr>
    </w:p>
    <w:p>
      <w:pPr>
        <w:pStyle w:val="2"/>
        <w:rPr>
          <w:rFonts w:hint="eastAsia" w:ascii="宋体" w:hAnsi="宋体" w:cs="宋体"/>
          <w:kern w:val="0"/>
          <w:sz w:val="20"/>
          <w:szCs w:val="20"/>
        </w:rPr>
      </w:pPr>
    </w:p>
    <w:p>
      <w:pPr>
        <w:widowControl/>
        <w:jc w:val="left"/>
        <w:textAlignment w:val="bottom"/>
        <w:rPr>
          <w:rFonts w:hint="eastAsia" w:ascii="宋体" w:hAnsi="宋体" w:cs="宋体"/>
          <w:kern w:val="0"/>
          <w:sz w:val="20"/>
          <w:szCs w:val="20"/>
        </w:rPr>
      </w:pPr>
    </w:p>
    <w:p>
      <w:pPr>
        <w:pStyle w:val="2"/>
        <w:rPr>
          <w:rFonts w:hint="eastAsia" w:ascii="宋体" w:hAnsi="宋体" w:cs="宋体"/>
          <w:kern w:val="0"/>
          <w:sz w:val="20"/>
          <w:szCs w:val="20"/>
        </w:rPr>
      </w:pPr>
    </w:p>
    <w:p>
      <w:pPr>
        <w:pStyle w:val="2"/>
        <w:rPr>
          <w:rFonts w:hint="eastAsia" w:ascii="宋体" w:hAnsi="宋体" w:cs="宋体"/>
          <w:kern w:val="0"/>
          <w:sz w:val="20"/>
          <w:szCs w:val="20"/>
        </w:rPr>
      </w:pPr>
    </w:p>
    <w:p>
      <w:pPr>
        <w:pStyle w:val="2"/>
        <w:rPr>
          <w:rFonts w:hint="eastAsia" w:ascii="宋体" w:hAnsi="宋体" w:cs="宋体"/>
          <w:kern w:val="0"/>
          <w:sz w:val="20"/>
          <w:szCs w:val="20"/>
        </w:rPr>
      </w:pPr>
    </w:p>
    <w:p>
      <w:pPr>
        <w:widowControl/>
        <w:jc w:val="left"/>
        <w:textAlignment w:val="bottom"/>
        <w:rPr>
          <w:rFonts w:hint="eastAsia" w:ascii="宋体" w:hAnsi="宋体" w:cs="宋体"/>
          <w:kern w:val="0"/>
          <w:sz w:val="20"/>
          <w:szCs w:val="20"/>
        </w:rPr>
      </w:pPr>
    </w:p>
    <w:p>
      <w:pPr>
        <w:widowControl/>
        <w:jc w:val="left"/>
        <w:textAlignment w:val="bottom"/>
        <w:rPr>
          <w:rFonts w:ascii="宋体" w:hAnsi="宋体" w:cs="宋体"/>
          <w:kern w:val="0"/>
          <w:sz w:val="20"/>
          <w:szCs w:val="20"/>
        </w:rPr>
      </w:pPr>
    </w:p>
    <w:p>
      <w:pPr>
        <w:widowControl/>
        <w:jc w:val="left"/>
        <w:textAlignment w:val="bottom"/>
        <w:rPr>
          <w:rFonts w:hint="eastAsia" w:ascii="宋体" w:hAnsi="宋体" w:cs="宋体"/>
          <w:kern w:val="0"/>
          <w:sz w:val="20"/>
          <w:szCs w:val="20"/>
        </w:rPr>
      </w:pPr>
      <w:r>
        <w:rPr>
          <w:rFonts w:hint="eastAsia" w:ascii="宋体" w:hAnsi="宋体" w:cs="宋体"/>
          <w:kern w:val="0"/>
          <w:sz w:val="20"/>
          <w:szCs w:val="20"/>
        </w:rPr>
        <w:t>表7</w:t>
      </w:r>
    </w:p>
    <w:tbl>
      <w:tblPr>
        <w:tblStyle w:val="12"/>
        <w:tblW w:w="9540" w:type="dxa"/>
        <w:tblInd w:w="-3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
        <w:gridCol w:w="409"/>
        <w:gridCol w:w="417"/>
        <w:gridCol w:w="417"/>
        <w:gridCol w:w="828"/>
        <w:gridCol w:w="1400"/>
        <w:gridCol w:w="732"/>
        <w:gridCol w:w="561"/>
        <w:gridCol w:w="530"/>
        <w:gridCol w:w="639"/>
        <w:gridCol w:w="639"/>
        <w:gridCol w:w="618"/>
        <w:gridCol w:w="419"/>
        <w:gridCol w:w="618"/>
        <w:gridCol w:w="420"/>
        <w:gridCol w:w="420"/>
        <w:gridCol w:w="388"/>
        <w:gridCol w:w="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6"/>
            <w:tcBorders>
              <w:top w:val="nil"/>
              <w:left w:val="nil"/>
              <w:bottom w:val="nil"/>
              <w:right w:val="nil"/>
            </w:tcBorders>
            <w:vAlign w:val="center"/>
          </w:tcPr>
          <w:p>
            <w:pPr>
              <w:widowControl/>
              <w:jc w:val="center"/>
              <w:rPr>
                <w:rFonts w:hint="eastAsia" w:ascii="方正小标宋_GBK" w:hAnsi="方正小标宋_GBK" w:eastAsia="方正小标宋_GBK" w:cs="方正小标宋_GBK"/>
                <w:kern w:val="0"/>
                <w:sz w:val="32"/>
                <w:szCs w:val="32"/>
              </w:rPr>
            </w:pPr>
            <w:r>
              <w:rPr>
                <w:rFonts w:hint="eastAsia" w:ascii="仿宋_GB2312" w:hAnsi="宋体" w:eastAsia="仿宋_GB2312"/>
                <w:b/>
                <w:kern w:val="0"/>
                <w:sz w:val="32"/>
                <w:szCs w:val="32"/>
              </w:rPr>
              <w:t>一般公共预算项目支出情况表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gridAfter w:val="1"/>
          <w:wBefore w:w="8" w:type="dxa"/>
          <w:wAfter w:w="77" w:type="dxa"/>
          <w:trHeight w:val="405" w:hRule="atLeast"/>
        </w:trPr>
        <w:tc>
          <w:tcPr>
            <w:tcW w:w="9455" w:type="dxa"/>
            <w:gridSpan w:val="16"/>
            <w:tcBorders>
              <w:top w:val="nil"/>
              <w:left w:val="nil"/>
              <w:bottom w:val="nil"/>
              <w:right w:val="nil"/>
            </w:tcBorders>
            <w:vAlign w:val="center"/>
          </w:tcPr>
          <w:p>
            <w:pPr>
              <w:widowControl/>
              <w:jc w:val="left"/>
              <w:rPr>
                <w:rFonts w:hint="eastAsia" w:ascii="仿宋_GB2312" w:hAnsi="宋体" w:eastAsia="仿宋_GB2312" w:cs="宋体"/>
                <w:kern w:val="0"/>
                <w:sz w:val="24"/>
              </w:rPr>
            </w:pPr>
            <w:r>
              <w:rPr>
                <w:rFonts w:hint="eastAsia" w:ascii="仿宋_GB2312" w:hAnsi="宋体" w:eastAsia="仿宋_GB2312" w:cs="宋体"/>
                <w:kern w:val="0"/>
                <w:sz w:val="24"/>
              </w:rPr>
              <w:t>编制单位：</w:t>
            </w:r>
            <w:r>
              <w:rPr>
                <w:rFonts w:hint="eastAsia" w:ascii="仿宋_GB2312" w:hAnsi="宋体" w:eastAsia="仿宋_GB2312"/>
                <w:kern w:val="0"/>
                <w:sz w:val="24"/>
              </w:rPr>
              <w:t>中国共产党焉耆回族自治县委员会社会工作部</w:t>
            </w:r>
            <w:r>
              <w:rPr>
                <w:rFonts w:hint="eastAsia" w:ascii="仿宋_GB2312" w:hAnsi="宋体" w:eastAsia="仿宋_GB2312" w:cs="宋体"/>
                <w:kern w:val="0"/>
                <w:sz w:val="24"/>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1251" w:type="dxa"/>
            <w:gridSpan w:val="4"/>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科 目 编 码</w:t>
            </w:r>
          </w:p>
        </w:tc>
        <w:tc>
          <w:tcPr>
            <w:tcW w:w="82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科目</w:t>
            </w: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名称</w:t>
            </w:r>
          </w:p>
        </w:tc>
        <w:tc>
          <w:tcPr>
            <w:tcW w:w="140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项目名称</w:t>
            </w:r>
          </w:p>
        </w:tc>
        <w:tc>
          <w:tcPr>
            <w:tcW w:w="732"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项目支出合计</w:t>
            </w:r>
          </w:p>
        </w:tc>
        <w:tc>
          <w:tcPr>
            <w:tcW w:w="561"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工资福利支出</w:t>
            </w:r>
          </w:p>
        </w:tc>
        <w:tc>
          <w:tcPr>
            <w:tcW w:w="53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商品和服务支出</w:t>
            </w:r>
          </w:p>
        </w:tc>
        <w:tc>
          <w:tcPr>
            <w:tcW w:w="639"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对个人和家庭的补助</w:t>
            </w:r>
          </w:p>
        </w:tc>
        <w:tc>
          <w:tcPr>
            <w:tcW w:w="639"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债务利息及费用支出</w:t>
            </w:r>
          </w:p>
        </w:tc>
        <w:tc>
          <w:tcPr>
            <w:tcW w:w="61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资本性支出（基本建设）</w:t>
            </w:r>
          </w:p>
        </w:tc>
        <w:tc>
          <w:tcPr>
            <w:tcW w:w="419"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资本性支出</w:t>
            </w:r>
          </w:p>
        </w:tc>
        <w:tc>
          <w:tcPr>
            <w:tcW w:w="618"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对企业补助（基本建设）</w:t>
            </w:r>
          </w:p>
        </w:tc>
        <w:tc>
          <w:tcPr>
            <w:tcW w:w="42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对企业补助</w:t>
            </w:r>
          </w:p>
        </w:tc>
        <w:tc>
          <w:tcPr>
            <w:tcW w:w="420" w:type="dxa"/>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对社会保障基金补助</w:t>
            </w:r>
          </w:p>
        </w:tc>
        <w:tc>
          <w:tcPr>
            <w:tcW w:w="465" w:type="dxa"/>
            <w:gridSpan w:val="2"/>
            <w:vMerge w:val="restart"/>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417" w:type="dxa"/>
            <w:gridSpan w:val="2"/>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类</w:t>
            </w:r>
          </w:p>
        </w:tc>
        <w:tc>
          <w:tcPr>
            <w:tcW w:w="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款</w:t>
            </w:r>
          </w:p>
        </w:tc>
        <w:tc>
          <w:tcPr>
            <w:tcW w:w="417"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w:t>
            </w:r>
          </w:p>
        </w:tc>
        <w:tc>
          <w:tcPr>
            <w:tcW w:w="828" w:type="dxa"/>
            <w:vMerge w:val="continue"/>
            <w:tcBorders>
              <w:left w:val="single" w:color="auto" w:sz="4" w:space="0"/>
              <w:bottom w:val="single" w:color="auto" w:sz="4" w:space="0"/>
            </w:tcBorders>
            <w:noWrap/>
            <w:vAlign w:val="center"/>
          </w:tcPr>
          <w:p/>
        </w:tc>
        <w:tc>
          <w:tcPr>
            <w:tcW w:w="1400" w:type="dxa"/>
            <w:vMerge w:val="continue"/>
            <w:tcBorders>
              <w:left w:val="single" w:color="auto" w:sz="4" w:space="0"/>
              <w:bottom w:val="single" w:color="auto" w:sz="4" w:space="0"/>
            </w:tcBorders>
            <w:noWrap/>
          </w:tcPr>
          <w:p/>
        </w:tc>
        <w:tc>
          <w:tcPr>
            <w:tcW w:w="732" w:type="dxa"/>
            <w:vMerge w:val="continue"/>
            <w:tcBorders>
              <w:left w:val="single" w:color="auto" w:sz="4" w:space="0"/>
              <w:bottom w:val="single" w:color="auto" w:sz="4" w:space="0"/>
            </w:tcBorders>
            <w:noWrap/>
          </w:tcPr>
          <w:p/>
        </w:tc>
        <w:tc>
          <w:tcPr>
            <w:tcW w:w="561" w:type="dxa"/>
            <w:vMerge w:val="continue"/>
            <w:tcBorders>
              <w:left w:val="single" w:color="auto" w:sz="4" w:space="0"/>
              <w:bottom w:val="single" w:color="auto" w:sz="4" w:space="0"/>
            </w:tcBorders>
            <w:noWrap/>
          </w:tcPr>
          <w:p/>
        </w:tc>
        <w:tc>
          <w:tcPr>
            <w:tcW w:w="530" w:type="dxa"/>
            <w:vMerge w:val="continue"/>
            <w:tcBorders>
              <w:left w:val="single" w:color="auto" w:sz="4" w:space="0"/>
              <w:bottom w:val="single" w:color="auto" w:sz="4" w:space="0"/>
            </w:tcBorders>
            <w:noWrap/>
          </w:tcPr>
          <w:p/>
        </w:tc>
        <w:tc>
          <w:tcPr>
            <w:tcW w:w="639" w:type="dxa"/>
            <w:vMerge w:val="continue"/>
            <w:tcBorders>
              <w:left w:val="single" w:color="auto" w:sz="4" w:space="0"/>
              <w:bottom w:val="single" w:color="auto" w:sz="4" w:space="0"/>
            </w:tcBorders>
            <w:noWrap/>
          </w:tcPr>
          <w:p/>
        </w:tc>
        <w:tc>
          <w:tcPr>
            <w:tcW w:w="639" w:type="dxa"/>
            <w:vMerge w:val="continue"/>
            <w:tcBorders>
              <w:left w:val="single" w:color="auto" w:sz="4" w:space="0"/>
              <w:bottom w:val="single" w:color="auto" w:sz="4" w:space="0"/>
            </w:tcBorders>
            <w:noWrap/>
          </w:tcPr>
          <w:p/>
        </w:tc>
        <w:tc>
          <w:tcPr>
            <w:tcW w:w="618" w:type="dxa"/>
            <w:vMerge w:val="continue"/>
            <w:tcBorders>
              <w:left w:val="single" w:color="auto" w:sz="4" w:space="0"/>
              <w:bottom w:val="single" w:color="auto" w:sz="4" w:space="0"/>
            </w:tcBorders>
            <w:noWrap/>
          </w:tcPr>
          <w:p/>
        </w:tc>
        <w:tc>
          <w:tcPr>
            <w:tcW w:w="419" w:type="dxa"/>
            <w:vMerge w:val="continue"/>
            <w:tcBorders>
              <w:left w:val="single" w:color="auto" w:sz="4" w:space="0"/>
              <w:bottom w:val="single" w:color="auto" w:sz="4" w:space="0"/>
            </w:tcBorders>
            <w:noWrap/>
          </w:tcPr>
          <w:p/>
        </w:tc>
        <w:tc>
          <w:tcPr>
            <w:tcW w:w="618" w:type="dxa"/>
            <w:vMerge w:val="continue"/>
            <w:tcBorders>
              <w:left w:val="single" w:color="auto" w:sz="4" w:space="0"/>
              <w:bottom w:val="single" w:color="auto" w:sz="4" w:space="0"/>
            </w:tcBorders>
            <w:noWrap/>
          </w:tcPr>
          <w:p/>
        </w:tc>
        <w:tc>
          <w:tcPr>
            <w:tcW w:w="420" w:type="dxa"/>
            <w:vMerge w:val="continue"/>
            <w:tcBorders>
              <w:left w:val="single" w:color="auto" w:sz="4" w:space="0"/>
              <w:bottom w:val="single" w:color="auto" w:sz="4" w:space="0"/>
            </w:tcBorders>
            <w:noWrap/>
          </w:tcPr>
          <w:p/>
        </w:tc>
        <w:tc>
          <w:tcPr>
            <w:tcW w:w="420" w:type="dxa"/>
            <w:vMerge w:val="continue"/>
            <w:tcBorders>
              <w:left w:val="single" w:color="auto" w:sz="4" w:space="0"/>
              <w:bottom w:val="single" w:color="auto" w:sz="4" w:space="0"/>
            </w:tcBorders>
            <w:noWrap/>
          </w:tcPr>
          <w:p/>
        </w:tc>
        <w:tc>
          <w:tcPr>
            <w:tcW w:w="465" w:type="dxa"/>
            <w:gridSpan w:val="2"/>
            <w:vMerge w:val="continue"/>
            <w:tcBorders>
              <w:left w:val="single" w:color="auto" w:sz="4" w:space="0"/>
              <w:bottom w:val="single" w:color="auto" w:sz="4" w:space="0"/>
              <w:right w:val="single" w:color="auto" w:sz="4" w:space="0"/>
            </w:tcBorders>
            <w:noWra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17"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tc>
        <w:tc>
          <w:tcPr>
            <w:tcW w:w="417" w:type="dxa"/>
            <w:tcBorders>
              <w:top w:val="single" w:color="auto" w:sz="4" w:space="0"/>
              <w:left w:val="single" w:color="auto" w:sz="4" w:space="0"/>
              <w:bottom w:val="single" w:color="auto" w:sz="4" w:space="0"/>
              <w:right w:val="single" w:color="auto" w:sz="4" w:space="0"/>
            </w:tcBorders>
            <w:noWrap/>
          </w:tcPr>
          <w:p/>
        </w:tc>
        <w:tc>
          <w:tcPr>
            <w:tcW w:w="82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140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732"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61"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3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65"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17"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82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140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732"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61"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3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65"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17"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82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140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732"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61"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3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65"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17"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82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140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732"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61"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3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65"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17"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82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140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732"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61"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3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65"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17"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82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140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732"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61"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3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65"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17"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82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140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732"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61"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3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65"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17"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82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140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732"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61"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3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65"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17" w:type="dxa"/>
            <w:gridSpan w:val="2"/>
            <w:tcBorders>
              <w:top w:val="single" w:color="auto" w:sz="4" w:space="0"/>
              <w:left w:val="single" w:color="auto" w:sz="4" w:space="0"/>
              <w:bottom w:val="single" w:color="auto" w:sz="4" w:space="0"/>
              <w:right w:val="single" w:color="auto" w:sz="4" w:space="0"/>
            </w:tcBorders>
            <w:noWrap/>
          </w:tcPr>
          <w:p/>
        </w:tc>
        <w:tc>
          <w:tcPr>
            <w:tcW w:w="417" w:type="dxa"/>
            <w:tcBorders>
              <w:top w:val="single" w:color="auto" w:sz="4" w:space="0"/>
              <w:left w:val="single" w:color="auto" w:sz="4" w:space="0"/>
              <w:bottom w:val="single" w:color="auto" w:sz="4" w:space="0"/>
              <w:right w:val="single" w:color="auto" w:sz="4" w:space="0"/>
            </w:tcBorders>
            <w:noWrap/>
          </w:tcPr>
          <w:p/>
        </w:tc>
        <w:tc>
          <w:tcPr>
            <w:tcW w:w="417" w:type="dxa"/>
            <w:tcBorders>
              <w:top w:val="single" w:color="auto" w:sz="4" w:space="0"/>
              <w:left w:val="single" w:color="auto" w:sz="4" w:space="0"/>
              <w:bottom w:val="single" w:color="auto" w:sz="4" w:space="0"/>
              <w:right w:val="single" w:color="auto" w:sz="4" w:space="0"/>
            </w:tcBorders>
            <w:noWrap/>
          </w:tcPr>
          <w:p/>
        </w:tc>
        <w:tc>
          <w:tcPr>
            <w:tcW w:w="828" w:type="dxa"/>
            <w:tcBorders>
              <w:top w:val="single" w:color="auto" w:sz="4" w:space="0"/>
              <w:left w:val="single" w:color="auto" w:sz="4" w:space="0"/>
              <w:bottom w:val="single" w:color="auto" w:sz="4" w:space="0"/>
              <w:right w:val="single" w:color="auto" w:sz="4" w:space="0"/>
            </w:tcBorders>
            <w:noWrap/>
          </w:tcPr>
          <w:p/>
        </w:tc>
        <w:tc>
          <w:tcPr>
            <w:tcW w:w="1400" w:type="dxa"/>
            <w:tcBorders>
              <w:top w:val="single" w:color="auto" w:sz="4" w:space="0"/>
              <w:left w:val="single" w:color="auto" w:sz="4" w:space="0"/>
              <w:bottom w:val="single" w:color="auto" w:sz="4" w:space="0"/>
              <w:right w:val="single" w:color="auto" w:sz="4" w:space="0"/>
            </w:tcBorders>
            <w:noWrap/>
          </w:tcPr>
          <w:p/>
        </w:tc>
        <w:tc>
          <w:tcPr>
            <w:tcW w:w="732" w:type="dxa"/>
            <w:tcBorders>
              <w:top w:val="single" w:color="auto" w:sz="4" w:space="0"/>
              <w:left w:val="single" w:color="auto" w:sz="4" w:space="0"/>
              <w:bottom w:val="single" w:color="auto" w:sz="4" w:space="0"/>
              <w:right w:val="single" w:color="auto" w:sz="4" w:space="0"/>
            </w:tcBorders>
            <w:noWrap/>
          </w:tcPr>
          <w:p/>
        </w:tc>
        <w:tc>
          <w:tcPr>
            <w:tcW w:w="561" w:type="dxa"/>
            <w:tcBorders>
              <w:top w:val="single" w:color="auto" w:sz="4" w:space="0"/>
              <w:left w:val="single" w:color="auto" w:sz="4" w:space="0"/>
              <w:bottom w:val="single" w:color="auto" w:sz="4" w:space="0"/>
              <w:right w:val="single" w:color="auto" w:sz="4" w:space="0"/>
            </w:tcBorders>
            <w:noWrap/>
          </w:tcPr>
          <w:p/>
        </w:tc>
        <w:tc>
          <w:tcPr>
            <w:tcW w:w="530" w:type="dxa"/>
            <w:tcBorders>
              <w:top w:val="single" w:color="auto" w:sz="4" w:space="0"/>
              <w:left w:val="single" w:color="auto" w:sz="4" w:space="0"/>
              <w:bottom w:val="single" w:color="auto" w:sz="4" w:space="0"/>
              <w:right w:val="single" w:color="auto" w:sz="4" w:space="0"/>
            </w:tcBorders>
            <w:noWrap/>
          </w:tcPr>
          <w:p/>
        </w:tc>
        <w:tc>
          <w:tcPr>
            <w:tcW w:w="639" w:type="dxa"/>
            <w:tcBorders>
              <w:top w:val="single" w:color="auto" w:sz="4" w:space="0"/>
              <w:left w:val="single" w:color="auto" w:sz="4" w:space="0"/>
              <w:bottom w:val="single" w:color="auto" w:sz="4" w:space="0"/>
              <w:right w:val="single" w:color="auto" w:sz="4" w:space="0"/>
            </w:tcBorders>
            <w:noWrap/>
          </w:tcPr>
          <w:p/>
        </w:tc>
        <w:tc>
          <w:tcPr>
            <w:tcW w:w="639" w:type="dxa"/>
            <w:tcBorders>
              <w:top w:val="single" w:color="auto" w:sz="4" w:space="0"/>
              <w:left w:val="single" w:color="auto" w:sz="4" w:space="0"/>
              <w:bottom w:val="single" w:color="auto" w:sz="4" w:space="0"/>
              <w:right w:val="single" w:color="auto" w:sz="4" w:space="0"/>
            </w:tcBorders>
            <w:noWrap/>
          </w:tcPr>
          <w:p/>
        </w:tc>
        <w:tc>
          <w:tcPr>
            <w:tcW w:w="618" w:type="dxa"/>
            <w:tcBorders>
              <w:top w:val="single" w:color="auto" w:sz="4" w:space="0"/>
              <w:left w:val="single" w:color="auto" w:sz="4" w:space="0"/>
              <w:bottom w:val="single" w:color="auto" w:sz="4" w:space="0"/>
              <w:right w:val="single" w:color="auto" w:sz="4" w:space="0"/>
            </w:tcBorders>
            <w:noWrap/>
          </w:tcPr>
          <w:p/>
        </w:tc>
        <w:tc>
          <w:tcPr>
            <w:tcW w:w="419" w:type="dxa"/>
            <w:tcBorders>
              <w:top w:val="single" w:color="auto" w:sz="4" w:space="0"/>
              <w:left w:val="single" w:color="auto" w:sz="4" w:space="0"/>
              <w:bottom w:val="single" w:color="auto" w:sz="4" w:space="0"/>
              <w:right w:val="single" w:color="auto" w:sz="4" w:space="0"/>
            </w:tcBorders>
            <w:noWrap/>
          </w:tcPr>
          <w:p/>
        </w:tc>
        <w:tc>
          <w:tcPr>
            <w:tcW w:w="618" w:type="dxa"/>
            <w:tcBorders>
              <w:top w:val="single" w:color="auto" w:sz="4" w:space="0"/>
              <w:left w:val="single" w:color="auto" w:sz="4" w:space="0"/>
              <w:bottom w:val="single" w:color="auto" w:sz="4" w:space="0"/>
              <w:right w:val="single" w:color="auto" w:sz="4" w:space="0"/>
            </w:tcBorders>
            <w:noWrap/>
          </w:tcPr>
          <w:p/>
        </w:tc>
        <w:tc>
          <w:tcPr>
            <w:tcW w:w="420" w:type="dxa"/>
            <w:tcBorders>
              <w:top w:val="single" w:color="auto" w:sz="4" w:space="0"/>
              <w:left w:val="single" w:color="auto" w:sz="4" w:space="0"/>
              <w:bottom w:val="single" w:color="auto" w:sz="4" w:space="0"/>
              <w:right w:val="single" w:color="auto" w:sz="4" w:space="0"/>
            </w:tcBorders>
            <w:noWrap/>
          </w:tcPr>
          <w:p/>
        </w:tc>
        <w:tc>
          <w:tcPr>
            <w:tcW w:w="420" w:type="dxa"/>
            <w:tcBorders>
              <w:top w:val="single" w:color="auto" w:sz="4" w:space="0"/>
              <w:left w:val="single" w:color="auto" w:sz="4" w:space="0"/>
              <w:bottom w:val="single" w:color="auto" w:sz="4" w:space="0"/>
              <w:right w:val="single" w:color="auto" w:sz="4" w:space="0"/>
            </w:tcBorders>
            <w:noWrap/>
          </w:tcPr>
          <w:p/>
        </w:tc>
        <w:tc>
          <w:tcPr>
            <w:tcW w:w="465" w:type="dxa"/>
            <w:gridSpan w:val="2"/>
            <w:tcBorders>
              <w:top w:val="single" w:color="auto" w:sz="4" w:space="0"/>
              <w:left w:val="single" w:color="auto" w:sz="4" w:space="0"/>
              <w:bottom w:val="single" w:color="auto" w:sz="4" w:space="0"/>
              <w:right w:val="single" w:color="auto" w:sz="4" w:space="0"/>
            </w:tcBorders>
            <w:noWrap/>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17"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82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140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732"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61"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3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65"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417"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7"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82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1400" w:type="dxa"/>
            <w:tcBorders>
              <w:top w:val="single" w:color="auto" w:sz="4" w:space="0"/>
              <w:left w:val="single" w:color="auto" w:sz="4" w:space="0"/>
              <w:bottom w:val="single" w:color="auto" w:sz="4" w:space="0"/>
              <w:right w:val="single" w:color="auto" w:sz="4" w:space="0"/>
            </w:tcBorders>
            <w:noWrap/>
            <w:vAlign w:val="center"/>
          </w:tcPr>
          <w:p>
            <w:r>
              <w:rPr>
                <w:rFonts w:hint="eastAsia" w:ascii="仿宋_GB2312" w:hAnsi="仿宋_GB2312" w:eastAsia="仿宋_GB2312" w:cs="仿宋_GB2312"/>
                <w:b/>
                <w:bCs/>
                <w:sz w:val="24"/>
                <w:szCs w:val="24"/>
              </w:rPr>
              <w:t>合 计</w:t>
            </w:r>
          </w:p>
        </w:tc>
        <w:tc>
          <w:tcPr>
            <w:tcW w:w="732" w:type="dxa"/>
            <w:tcBorders>
              <w:top w:val="single" w:color="auto" w:sz="4" w:space="0"/>
              <w:left w:val="single" w:color="auto" w:sz="4" w:space="0"/>
              <w:bottom w:val="single" w:color="auto" w:sz="4" w:space="0"/>
              <w:right w:val="single" w:color="auto" w:sz="4" w:space="0"/>
            </w:tcBorders>
            <w:noWrap/>
            <w:vAlign w:val="center"/>
          </w:tcPr>
          <w:p/>
        </w:tc>
        <w:tc>
          <w:tcPr>
            <w:tcW w:w="561"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53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3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19"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618"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20" w:type="dxa"/>
            <w:tcBorders>
              <w:top w:val="single" w:color="auto" w:sz="4" w:space="0"/>
              <w:left w:val="single" w:color="auto" w:sz="4" w:space="0"/>
              <w:bottom w:val="single" w:color="auto" w:sz="4" w:space="0"/>
              <w:right w:val="single" w:color="auto" w:sz="4" w:space="0"/>
            </w:tcBorders>
            <w:noWrap/>
          </w:tcPr>
          <w:p>
            <w:r>
              <w:rPr>
                <w:rFonts w:hint="eastAsia"/>
              </w:rPr>
              <w:t>　</w:t>
            </w:r>
          </w:p>
        </w:tc>
        <w:tc>
          <w:tcPr>
            <w:tcW w:w="465" w:type="dxa"/>
            <w:gridSpan w:val="2"/>
            <w:tcBorders>
              <w:top w:val="single" w:color="auto" w:sz="4" w:space="0"/>
              <w:left w:val="single" w:color="auto" w:sz="4" w:space="0"/>
              <w:bottom w:val="single" w:color="auto" w:sz="4" w:space="0"/>
              <w:right w:val="single" w:color="auto" w:sz="4" w:space="0"/>
            </w:tcBorders>
            <w:noWrap/>
          </w:tcPr>
          <w:p>
            <w:r>
              <w:rPr>
                <w:rFonts w:hint="eastAsia"/>
              </w:rPr>
              <w:t>　</w:t>
            </w:r>
          </w:p>
        </w:tc>
      </w:tr>
    </w:tbl>
    <w:p>
      <w:pPr>
        <w:widowControl/>
        <w:spacing w:line="320" w:lineRule="exact"/>
        <w:outlineLvl w:val="1"/>
        <w:rPr>
          <w:rFonts w:hint="eastAsia" w:ascii="仿宋_GB2312" w:hAnsi="宋体" w:eastAsia="仿宋_GB2312"/>
          <w:b/>
          <w:kern w:val="0"/>
          <w:sz w:val="28"/>
          <w:szCs w:val="32"/>
        </w:rPr>
      </w:pPr>
    </w:p>
    <w:p>
      <w:pPr>
        <w:widowControl/>
        <w:spacing w:line="320" w:lineRule="exact"/>
        <w:outlineLvl w:val="1"/>
        <w:rPr>
          <w:rFonts w:hint="eastAsia" w:ascii="仿宋_GB2312" w:hAnsi="宋体" w:eastAsia="仿宋_GB2312"/>
          <w:b/>
          <w:kern w:val="0"/>
          <w:sz w:val="28"/>
          <w:szCs w:val="32"/>
        </w:rPr>
      </w:pPr>
    </w:p>
    <w:p>
      <w:pPr>
        <w:widowControl/>
        <w:spacing w:line="320" w:lineRule="exact"/>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备注：2025年本单位无一般公共预算项目支出支出，</w:t>
      </w:r>
      <w:r>
        <w:rPr>
          <w:rFonts w:hint="eastAsia" w:ascii="仿宋_GB2312" w:hAnsi="宋体" w:eastAsia="仿宋_GB2312"/>
          <w:b/>
          <w:kern w:val="0"/>
          <w:sz w:val="28"/>
          <w:szCs w:val="32"/>
          <w:lang w:eastAsia="zh-CN"/>
        </w:rPr>
        <w:t>此表</w:t>
      </w:r>
      <w:r>
        <w:rPr>
          <w:rFonts w:hint="eastAsia" w:ascii="仿宋_GB2312" w:hAnsi="宋体" w:eastAsia="仿宋_GB2312"/>
          <w:b/>
          <w:kern w:val="0"/>
          <w:sz w:val="28"/>
          <w:szCs w:val="32"/>
        </w:rPr>
        <w:t>为空表。</w:t>
      </w:r>
    </w:p>
    <w:p>
      <w:pPr>
        <w:widowControl/>
        <w:jc w:val="left"/>
        <w:textAlignment w:val="bottom"/>
        <w:rPr>
          <w:rFonts w:hint="eastAsia" w:ascii="宋体" w:hAnsi="宋体" w:cs="宋体"/>
          <w:kern w:val="0"/>
          <w:sz w:val="20"/>
          <w:szCs w:val="20"/>
        </w:rPr>
      </w:pPr>
    </w:p>
    <w:p>
      <w:pPr>
        <w:widowControl/>
        <w:jc w:val="left"/>
        <w:textAlignment w:val="bottom"/>
        <w:rPr>
          <w:rFonts w:hint="eastAsia" w:ascii="宋体" w:hAnsi="宋体" w:cs="宋体"/>
          <w:kern w:val="0"/>
          <w:sz w:val="20"/>
          <w:szCs w:val="20"/>
        </w:rPr>
      </w:pPr>
    </w:p>
    <w:p>
      <w:pPr>
        <w:pStyle w:val="2"/>
      </w:pPr>
    </w:p>
    <w:p>
      <w:pPr>
        <w:widowControl/>
        <w:jc w:val="left"/>
        <w:textAlignment w:val="bottom"/>
        <w:rPr>
          <w:rFonts w:hint="eastAsia" w:ascii="宋体" w:hAnsi="宋体" w:cs="宋体"/>
          <w:kern w:val="0"/>
          <w:sz w:val="20"/>
          <w:szCs w:val="20"/>
        </w:rPr>
      </w:pPr>
    </w:p>
    <w:p>
      <w:pPr>
        <w:widowControl/>
        <w:jc w:val="left"/>
        <w:textAlignment w:val="bottom"/>
        <w:rPr>
          <w:rFonts w:ascii="宋体" w:hAnsi="宋体" w:cs="宋体"/>
          <w:kern w:val="0"/>
          <w:sz w:val="20"/>
          <w:szCs w:val="20"/>
        </w:rPr>
      </w:pPr>
    </w:p>
    <w:p>
      <w:pPr>
        <w:widowControl/>
        <w:jc w:val="left"/>
        <w:textAlignment w:val="bottom"/>
        <w:rPr>
          <w:rFonts w:hint="eastAsia" w:ascii="宋体" w:hAnsi="宋体" w:cs="宋体"/>
          <w:kern w:val="0"/>
          <w:sz w:val="20"/>
          <w:szCs w:val="20"/>
        </w:rPr>
      </w:pPr>
      <w:r>
        <w:rPr>
          <w:rFonts w:hint="eastAsia" w:ascii="宋体" w:hAnsi="宋体" w:cs="宋体"/>
          <w:kern w:val="0"/>
          <w:sz w:val="20"/>
          <w:szCs w:val="20"/>
        </w:rPr>
        <w:t>表</w:t>
      </w:r>
      <w:r>
        <w:rPr>
          <w:rFonts w:ascii="宋体" w:hAnsi="宋体" w:cs="宋体"/>
          <w:kern w:val="0"/>
          <w:sz w:val="20"/>
          <w:szCs w:val="20"/>
        </w:rPr>
        <w:t>8</w:t>
      </w:r>
    </w:p>
    <w:p>
      <w:pPr>
        <w:widowControl/>
        <w:jc w:val="center"/>
        <w:rPr>
          <w:rFonts w:hint="eastAsia" w:ascii="仿宋_GB2312" w:hAnsi="宋体" w:eastAsia="仿宋_GB2312"/>
          <w:b/>
          <w:kern w:val="0"/>
          <w:sz w:val="32"/>
          <w:szCs w:val="32"/>
        </w:rPr>
      </w:pPr>
      <w:r>
        <w:rPr>
          <w:rFonts w:hint="eastAsia" w:ascii="仿宋_GB2312" w:hAnsi="宋体" w:eastAsia="仿宋_GB2312"/>
          <w:b/>
          <w:kern w:val="0"/>
          <w:sz w:val="32"/>
          <w:szCs w:val="32"/>
        </w:rPr>
        <w:t>政府性基金预算支出情况表</w:t>
      </w:r>
    </w:p>
    <w:p>
      <w:pPr>
        <w:widowControl/>
        <w:spacing w:line="280" w:lineRule="exact"/>
        <w:jc w:val="left"/>
        <w:outlineLvl w:val="1"/>
        <w:rPr>
          <w:rFonts w:hint="eastAsia" w:ascii="仿宋_GB2312" w:hAnsi="宋体" w:eastAsia="仿宋_GB2312"/>
          <w:kern w:val="0"/>
          <w:sz w:val="24"/>
        </w:rPr>
      </w:pPr>
      <w:r>
        <w:rPr>
          <w:rFonts w:hint="eastAsia" w:ascii="仿宋_GB2312" w:hAnsi="宋体" w:eastAsia="仿宋_GB2312"/>
          <w:kern w:val="0"/>
          <w:sz w:val="24"/>
        </w:rPr>
        <w:t>编制单位：中国共产党焉耆回族自治县委员会社会工作部         单位：万元</w:t>
      </w:r>
    </w:p>
    <w:tbl>
      <w:tblPr>
        <w:tblStyle w:val="12"/>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科  目</w:t>
            </w:r>
          </w:p>
        </w:tc>
        <w:tc>
          <w:tcPr>
            <w:tcW w:w="4929" w:type="dxa"/>
            <w:gridSpan w:val="4"/>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功能分类科目编码</w:t>
            </w:r>
          </w:p>
        </w:tc>
        <w:tc>
          <w:tcPr>
            <w:tcW w:w="2357" w:type="dxa"/>
            <w:vMerge w:val="restart"/>
            <w:tcBorders>
              <w:top w:val="nil"/>
              <w:left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功能分类科目名称</w:t>
            </w:r>
          </w:p>
          <w:p>
            <w:pPr>
              <w:jc w:val="center"/>
              <w:rPr>
                <w:rFonts w:hint="eastAsia" w:ascii="仿宋_GB2312" w:hAnsi="仿宋_GB2312" w:eastAsia="仿宋_GB2312" w:cs="仿宋_GB2312"/>
                <w:b/>
                <w:bCs/>
                <w:sz w:val="24"/>
                <w:szCs w:val="24"/>
              </w:rPr>
            </w:pPr>
          </w:p>
        </w:tc>
        <w:tc>
          <w:tcPr>
            <w:tcW w:w="1374" w:type="dxa"/>
            <w:vMerge w:val="restart"/>
            <w:tcBorders>
              <w:top w:val="nil"/>
              <w:left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合 计</w:t>
            </w:r>
          </w:p>
          <w:p>
            <w:pPr>
              <w:jc w:val="center"/>
              <w:rPr>
                <w:rFonts w:hint="eastAsia" w:ascii="仿宋_GB2312" w:hAnsi="仿宋_GB2312" w:eastAsia="仿宋_GB2312" w:cs="仿宋_GB2312"/>
                <w:b/>
                <w:bCs/>
                <w:sz w:val="24"/>
                <w:szCs w:val="24"/>
              </w:rPr>
            </w:pPr>
          </w:p>
        </w:tc>
        <w:tc>
          <w:tcPr>
            <w:tcW w:w="2157" w:type="dxa"/>
            <w:gridSpan w:val="2"/>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基本支出</w:t>
            </w:r>
          </w:p>
        </w:tc>
        <w:tc>
          <w:tcPr>
            <w:tcW w:w="1398" w:type="dxa"/>
            <w:vMerge w:val="restart"/>
            <w:tcBorders>
              <w:top w:val="nil"/>
              <w:left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项目支出</w:t>
            </w:r>
          </w:p>
          <w:p>
            <w:pPr>
              <w:jc w:val="center"/>
              <w:rPr>
                <w:rFonts w:hint="eastAsia" w:ascii="仿宋_GB2312" w:hAnsi="仿宋_GB2312" w:eastAsia="仿宋_GB2312" w:cs="仿宋_GB2312"/>
                <w:b/>
                <w:bCs/>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类</w:t>
            </w:r>
          </w:p>
          <w:p>
            <w:pPr>
              <w:jc w:val="center"/>
              <w:rPr>
                <w:rFonts w:hint="eastAsia" w:ascii="仿宋_GB2312" w:hAnsi="仿宋_GB2312" w:eastAsia="仿宋_GB2312" w:cs="仿宋_GB2312"/>
                <w:b/>
                <w:bCs/>
                <w:sz w:val="24"/>
                <w:szCs w:val="24"/>
              </w:rPr>
            </w:pPr>
          </w:p>
        </w:tc>
        <w:tc>
          <w:tcPr>
            <w:tcW w:w="687"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款</w:t>
            </w:r>
          </w:p>
          <w:p>
            <w:pPr>
              <w:jc w:val="center"/>
              <w:rPr>
                <w:rFonts w:hint="eastAsia" w:ascii="仿宋_GB2312" w:hAnsi="仿宋_GB2312" w:eastAsia="仿宋_GB2312" w:cs="仿宋_GB2312"/>
                <w:b/>
                <w:bCs/>
                <w:sz w:val="24"/>
                <w:szCs w:val="24"/>
              </w:rPr>
            </w:pPr>
          </w:p>
        </w:tc>
        <w:tc>
          <w:tcPr>
            <w:tcW w:w="656" w:type="dxa"/>
            <w:tcBorders>
              <w:top w:val="nil"/>
              <w:left w:val="nil"/>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p>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项</w:t>
            </w:r>
          </w:p>
          <w:p>
            <w:pPr>
              <w:jc w:val="center"/>
              <w:rPr>
                <w:rFonts w:hint="eastAsia" w:ascii="仿宋_GB2312" w:hAnsi="仿宋_GB2312" w:eastAsia="仿宋_GB2312" w:cs="仿宋_GB2312"/>
                <w:b/>
                <w:bCs/>
                <w:sz w:val="24"/>
                <w:szCs w:val="24"/>
              </w:rPr>
            </w:pPr>
          </w:p>
        </w:tc>
        <w:tc>
          <w:tcPr>
            <w:tcW w:w="2357" w:type="dxa"/>
            <w:vMerge w:val="continue"/>
            <w:tcBorders>
              <w:left w:val="single" w:color="auto" w:sz="4" w:space="0"/>
              <w:bottom w:val="single" w:color="auto" w:sz="4" w:space="0"/>
              <w:right w:val="single" w:color="auto" w:sz="4" w:space="0"/>
            </w:tcBorders>
            <w:vAlign w:val="center"/>
          </w:tcPr>
          <w:p/>
        </w:tc>
        <w:tc>
          <w:tcPr>
            <w:tcW w:w="1374" w:type="dxa"/>
            <w:vMerge w:val="continue"/>
            <w:tcBorders>
              <w:left w:val="single" w:color="auto" w:sz="4" w:space="0"/>
              <w:bottom w:val="single" w:color="auto" w:sz="4" w:space="0"/>
              <w:right w:val="single" w:color="auto" w:sz="4" w:space="0"/>
            </w:tcBorders>
            <w:vAlign w:val="center"/>
          </w:tcPr>
          <w:p/>
        </w:tc>
        <w:tc>
          <w:tcPr>
            <w:tcW w:w="1055" w:type="dxa"/>
            <w:tcBorders>
              <w:top w:val="single" w:color="auto" w:sz="4" w:space="0"/>
              <w:left w:val="nil"/>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人员经费</w:t>
            </w:r>
          </w:p>
        </w:tc>
        <w:tc>
          <w:tcPr>
            <w:tcW w:w="110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_GB2312" w:hAnsi="仿宋_GB2312" w:eastAsia="仿宋_GB2312" w:cs="仿宋_GB2312"/>
                <w:b/>
                <w:bCs/>
                <w:sz w:val="24"/>
                <w:szCs w:val="24"/>
              </w:rPr>
            </w:pPr>
            <w:r>
              <w:rPr>
                <w:rFonts w:hint="eastAsia" w:ascii="仿宋_GB2312" w:hAnsi="仿宋_GB2312" w:eastAsia="仿宋_GB2312" w:cs="仿宋_GB2312"/>
                <w:b/>
                <w:bCs/>
                <w:sz w:val="24"/>
                <w:szCs w:val="24"/>
              </w:rPr>
              <w:t>公用经费</w:t>
            </w:r>
          </w:p>
        </w:tc>
        <w:tc>
          <w:tcPr>
            <w:tcW w:w="1398" w:type="dxa"/>
            <w:vMerge w:val="continue"/>
            <w:tcBorders>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374"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kern w:val="0"/>
                <w:sz w:val="32"/>
                <w:szCs w:val="32"/>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b/>
                <w:bCs/>
                <w:kern w:val="0"/>
                <w:sz w:val="32"/>
                <w:szCs w:val="32"/>
              </w:rPr>
            </w:pPr>
          </w:p>
        </w:tc>
        <w:tc>
          <w:tcPr>
            <w:tcW w:w="1398"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32"/>
                <w:szCs w:val="32"/>
              </w:rPr>
            </w:pPr>
            <w:r>
              <w:rPr>
                <w:rFonts w:hint="eastAsia" w:ascii="仿宋_GB2312" w:hAnsi="宋体" w:eastAsia="仿宋_GB2312" w:cs="宋体"/>
                <w:b/>
                <w:bCs/>
                <w:kern w:val="0"/>
                <w:sz w:val="32"/>
                <w:szCs w:val="32"/>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87" w:type="dxa"/>
            <w:tcBorders>
              <w:top w:val="nil"/>
              <w:left w:val="nil"/>
              <w:bottom w:val="single" w:color="auto" w:sz="4" w:space="0"/>
              <w:right w:val="single" w:color="auto" w:sz="4" w:space="0"/>
            </w:tcBorders>
            <w:vAlign w:val="center"/>
          </w:tcPr>
          <w:p>
            <w:pPr>
              <w:widowControl/>
              <w:spacing w:line="280" w:lineRule="exact"/>
              <w:jc w:val="left"/>
              <w:rPr>
                <w:rFonts w:hint="eastAsia" w:ascii="宋体" w:hAnsi="宋体" w:cs="宋体"/>
                <w:kern w:val="0"/>
                <w:sz w:val="24"/>
              </w:rPr>
            </w:pPr>
            <w:r>
              <w:rPr>
                <w:rFonts w:hint="eastAsia" w:ascii="宋体" w:hAnsi="宋体" w:cs="宋体"/>
                <w:kern w:val="0"/>
                <w:sz w:val="24"/>
              </w:rPr>
              <w:t>　</w:t>
            </w:r>
          </w:p>
        </w:tc>
        <w:tc>
          <w:tcPr>
            <w:tcW w:w="656" w:type="dxa"/>
            <w:tcBorders>
              <w:top w:val="nil"/>
              <w:left w:val="nil"/>
              <w:bottom w:val="single" w:color="auto" w:sz="4" w:space="0"/>
              <w:right w:val="single" w:color="auto" w:sz="4" w:space="0"/>
            </w:tcBorders>
            <w:vAlign w:val="center"/>
          </w:tcPr>
          <w:p>
            <w:pPr>
              <w:widowControl/>
              <w:spacing w:line="280" w:lineRule="exact"/>
              <w:jc w:val="lef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235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kern w:val="0"/>
                <w:sz w:val="24"/>
              </w:rPr>
            </w:pPr>
            <w:r>
              <w:rPr>
                <w:rFonts w:hint="eastAsia" w:ascii="仿宋_GB2312" w:hAnsi="宋体" w:eastAsia="仿宋_GB2312" w:cs="宋体"/>
                <w:b/>
                <w:bCs/>
                <w:kern w:val="0"/>
                <w:sz w:val="20"/>
                <w:szCs w:val="20"/>
              </w:rPr>
              <w:t>合  计</w:t>
            </w:r>
          </w:p>
        </w:tc>
        <w:tc>
          <w:tcPr>
            <w:tcW w:w="1374"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c>
          <w:tcPr>
            <w:tcW w:w="1055"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102" w:type="dxa"/>
            <w:tcBorders>
              <w:top w:val="nil"/>
              <w:left w:val="single" w:color="auto" w:sz="4" w:space="0"/>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p>
        </w:tc>
        <w:tc>
          <w:tcPr>
            <w:tcW w:w="1398" w:type="dxa"/>
            <w:tcBorders>
              <w:top w:val="nil"/>
              <w:left w:val="nil"/>
              <w:bottom w:val="single" w:color="auto" w:sz="4" w:space="0"/>
              <w:right w:val="single" w:color="auto" w:sz="4" w:space="0"/>
            </w:tcBorders>
            <w:vAlign w:val="center"/>
          </w:tcPr>
          <w:p>
            <w:pPr>
              <w:widowControl/>
              <w:spacing w:line="280" w:lineRule="exact"/>
              <w:jc w:val="right"/>
              <w:rPr>
                <w:rFonts w:hint="eastAsia" w:ascii="仿宋_GB2312" w:hAnsi="宋体" w:eastAsia="仿宋_GB2312" w:cs="宋体"/>
                <w:kern w:val="0"/>
                <w:sz w:val="24"/>
              </w:rPr>
            </w:pPr>
            <w:r>
              <w:rPr>
                <w:rFonts w:hint="eastAsia" w:ascii="仿宋_GB2312" w:hAnsi="宋体" w:eastAsia="仿宋_GB2312" w:cs="宋体"/>
                <w:kern w:val="0"/>
                <w:sz w:val="24"/>
              </w:rPr>
              <w:t>　</w:t>
            </w:r>
          </w:p>
        </w:tc>
      </w:tr>
    </w:tbl>
    <w:p>
      <w:pPr>
        <w:widowControl/>
        <w:spacing w:line="280" w:lineRule="exact"/>
        <w:outlineLvl w:val="1"/>
        <w:rPr>
          <w:rFonts w:hint="eastAsia" w:ascii="仿宋_GB2312" w:hAnsi="宋体" w:eastAsia="仿宋_GB2312"/>
          <w:b/>
          <w:kern w:val="0"/>
          <w:sz w:val="28"/>
          <w:szCs w:val="32"/>
        </w:rPr>
      </w:pPr>
    </w:p>
    <w:p>
      <w:pPr>
        <w:widowControl/>
        <w:spacing w:line="280" w:lineRule="exact"/>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备注：2025年本单位无政府性基金预算支出，此表为空表。</w:t>
      </w:r>
    </w:p>
    <w:p>
      <w:pPr>
        <w:widowControl/>
        <w:jc w:val="left"/>
        <w:textAlignment w:val="bottom"/>
        <w:rPr>
          <w:rFonts w:hint="eastAsia" w:ascii="宋体" w:hAnsi="宋体" w:cs="宋体"/>
          <w:kern w:val="0"/>
          <w:sz w:val="20"/>
          <w:szCs w:val="20"/>
        </w:rPr>
      </w:pPr>
    </w:p>
    <w:p>
      <w:pPr>
        <w:widowControl/>
        <w:jc w:val="left"/>
        <w:textAlignment w:val="bottom"/>
        <w:rPr>
          <w:rFonts w:ascii="宋体" w:hAnsi="宋体" w:cs="宋体"/>
          <w:kern w:val="0"/>
          <w:sz w:val="20"/>
          <w:szCs w:val="20"/>
        </w:rPr>
      </w:pPr>
    </w:p>
    <w:p>
      <w:pPr>
        <w:pStyle w:val="2"/>
      </w:pPr>
    </w:p>
    <w:p>
      <w:pPr>
        <w:pStyle w:val="2"/>
      </w:pPr>
    </w:p>
    <w:p>
      <w:pPr>
        <w:widowControl/>
        <w:jc w:val="left"/>
        <w:textAlignment w:val="bottom"/>
        <w:rPr>
          <w:rFonts w:hint="eastAsia" w:ascii="仿宋_GB2312" w:hAnsi="宋体" w:eastAsia="仿宋_GB2312"/>
          <w:b/>
          <w:kern w:val="0"/>
          <w:sz w:val="28"/>
          <w:szCs w:val="32"/>
        </w:rPr>
      </w:pPr>
      <w:r>
        <w:rPr>
          <w:rFonts w:hint="eastAsia" w:ascii="宋体" w:hAnsi="宋体" w:cs="宋体"/>
          <w:kern w:val="0"/>
          <w:sz w:val="20"/>
          <w:szCs w:val="20"/>
        </w:rPr>
        <w:t>表9</w:t>
      </w:r>
    </w:p>
    <w:p>
      <w:pPr>
        <w:widowControl/>
        <w:jc w:val="center"/>
        <w:rPr>
          <w:rFonts w:hint="eastAsia" w:ascii="仿宋_GB2312" w:hAnsi="宋体" w:eastAsia="仿宋_GB2312"/>
          <w:b/>
          <w:kern w:val="0"/>
          <w:sz w:val="32"/>
          <w:szCs w:val="32"/>
        </w:rPr>
      </w:pPr>
      <w:r>
        <w:rPr>
          <w:rFonts w:hint="eastAsia" w:ascii="仿宋_GB2312" w:hAnsi="宋体" w:eastAsia="仿宋_GB2312"/>
          <w:b/>
          <w:kern w:val="0"/>
          <w:sz w:val="32"/>
          <w:szCs w:val="32"/>
        </w:rPr>
        <w:t>国有资本经营预算支出情况表</w:t>
      </w:r>
    </w:p>
    <w:p>
      <w:pPr>
        <w:widowControl/>
        <w:spacing w:line="280" w:lineRule="exact"/>
        <w:jc w:val="left"/>
        <w:outlineLvl w:val="1"/>
        <w:rPr>
          <w:rFonts w:hint="eastAsia" w:ascii="仿宋_GB2312" w:hAnsi="宋体" w:eastAsia="仿宋_GB2312"/>
          <w:kern w:val="0"/>
          <w:sz w:val="24"/>
        </w:rPr>
      </w:pPr>
      <w:r>
        <w:rPr>
          <w:rFonts w:hint="eastAsia" w:ascii="仿宋_GB2312" w:hAnsi="宋体" w:eastAsia="仿宋_GB2312"/>
          <w:kern w:val="0"/>
          <w:sz w:val="24"/>
        </w:rPr>
        <w:t>编制单位：中国共产党焉耆回族自治县委员会社会工作部         单位：万元</w:t>
      </w:r>
    </w:p>
    <w:tbl>
      <w:tblPr>
        <w:tblStyle w:val="12"/>
        <w:tblW w:w="9214" w:type="dxa"/>
        <w:tblInd w:w="-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科  目</w:t>
            </w:r>
          </w:p>
        </w:tc>
        <w:tc>
          <w:tcPr>
            <w:tcW w:w="4929" w:type="dxa"/>
            <w:gridSpan w:val="4"/>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widowControl/>
              <w:spacing w:line="280" w:lineRule="exact"/>
              <w:jc w:val="center"/>
              <w:rPr>
                <w:rFonts w:hint="eastAsia" w:ascii="仿宋_GB2312" w:hAnsi="宋体" w:eastAsia="仿宋_GB2312" w:cs="宋体"/>
                <w:b/>
                <w:bCs/>
                <w:color w:val="auto"/>
                <w:kern w:val="0"/>
                <w:sz w:val="20"/>
                <w:szCs w:val="20"/>
                <w:highlight w:val="none"/>
              </w:rPr>
            </w:pPr>
          </w:p>
        </w:tc>
        <w:tc>
          <w:tcPr>
            <w:tcW w:w="1374"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widowControl/>
              <w:spacing w:line="280" w:lineRule="exact"/>
              <w:jc w:val="center"/>
              <w:rPr>
                <w:rFonts w:hint="eastAsia" w:ascii="仿宋_GB2312" w:hAnsi="宋体" w:eastAsia="仿宋_GB2312" w:cs="宋体"/>
                <w:b/>
                <w:bCs/>
                <w:color w:val="auto"/>
                <w:kern w:val="0"/>
                <w:sz w:val="20"/>
                <w:szCs w:val="20"/>
                <w:highlight w:val="none"/>
              </w:rPr>
            </w:pPr>
          </w:p>
        </w:tc>
        <w:tc>
          <w:tcPr>
            <w:tcW w:w="2157" w:type="dxa"/>
            <w:gridSpan w:val="2"/>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widowControl/>
              <w:spacing w:line="280" w:lineRule="exact"/>
              <w:jc w:val="center"/>
              <w:rPr>
                <w:rFonts w:hint="eastAsia" w:ascii="仿宋_GB2312" w:hAnsi="宋体" w:eastAsia="仿宋_GB2312" w:cs="宋体"/>
                <w:b/>
                <w:bCs/>
                <w:color w:val="auto"/>
                <w:kern w:val="0"/>
                <w:sz w:val="20"/>
                <w:szCs w:val="20"/>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widowControl/>
              <w:spacing w:line="280" w:lineRule="exact"/>
              <w:jc w:val="center"/>
              <w:rPr>
                <w:rFonts w:hint="eastAsia" w:ascii="仿宋_GB2312" w:hAnsi="宋体" w:eastAsia="仿宋_GB2312" w:cs="宋体"/>
                <w:b/>
                <w:bCs/>
                <w:color w:val="auto"/>
                <w:kern w:val="0"/>
                <w:sz w:val="20"/>
                <w:szCs w:val="20"/>
                <w:highlight w:val="none"/>
              </w:rPr>
            </w:pPr>
          </w:p>
        </w:tc>
        <w:tc>
          <w:tcPr>
            <w:tcW w:w="687"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widowControl/>
              <w:spacing w:line="280" w:lineRule="exact"/>
              <w:jc w:val="center"/>
              <w:rPr>
                <w:rFonts w:hint="eastAsia" w:ascii="仿宋_GB2312" w:hAnsi="宋体" w:eastAsia="仿宋_GB2312" w:cs="宋体"/>
                <w:b/>
                <w:bCs/>
                <w:color w:val="auto"/>
                <w:kern w:val="0"/>
                <w:sz w:val="20"/>
                <w:szCs w:val="20"/>
                <w:highlight w:val="none"/>
              </w:rPr>
            </w:pPr>
          </w:p>
        </w:tc>
        <w:tc>
          <w:tcPr>
            <w:tcW w:w="656" w:type="dxa"/>
            <w:tcBorders>
              <w:top w:val="nil"/>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p>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widowControl/>
              <w:spacing w:line="280" w:lineRule="exact"/>
              <w:jc w:val="center"/>
              <w:rPr>
                <w:rFonts w:hint="eastAsia" w:ascii="仿宋_GB2312" w:hAnsi="宋体" w:eastAsia="仿宋_GB2312" w:cs="宋体"/>
                <w:b/>
                <w:bCs/>
                <w:color w:val="auto"/>
                <w:kern w:val="0"/>
                <w:sz w:val="20"/>
                <w:szCs w:val="20"/>
                <w:highlight w:val="none"/>
              </w:rPr>
            </w:pPr>
          </w:p>
        </w:tc>
        <w:tc>
          <w:tcPr>
            <w:tcW w:w="2357" w:type="dxa"/>
            <w:vMerge w:val="continue"/>
            <w:tcBorders>
              <w:left w:val="single" w:color="auto" w:sz="4" w:space="0"/>
              <w:bottom w:val="single" w:color="auto" w:sz="4" w:space="0"/>
              <w:right w:val="single" w:color="auto" w:sz="4" w:space="0"/>
            </w:tcBorders>
            <w:vAlign w:val="center"/>
          </w:tcPr>
          <w:p/>
        </w:tc>
        <w:tc>
          <w:tcPr>
            <w:tcW w:w="1374" w:type="dxa"/>
            <w:vMerge w:val="continue"/>
            <w:tcBorders>
              <w:left w:val="single" w:color="auto" w:sz="4" w:space="0"/>
              <w:bottom w:val="single" w:color="auto" w:sz="4" w:space="0"/>
              <w:right w:val="single" w:color="auto" w:sz="4" w:space="0"/>
            </w:tcBorders>
            <w:vAlign w:val="center"/>
          </w:tcPr>
          <w:p/>
        </w:tc>
        <w:tc>
          <w:tcPr>
            <w:tcW w:w="1055" w:type="dxa"/>
            <w:tcBorders>
              <w:top w:val="single" w:color="auto" w:sz="4" w:space="0"/>
              <w:left w:val="nil"/>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102"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c>
          <w:tcPr>
            <w:tcW w:w="1398" w:type="dxa"/>
            <w:vMerge w:val="continue"/>
            <w:tcBorders>
              <w:left w:val="single" w:color="auto" w:sz="4" w:space="0"/>
              <w:bottom w:val="single" w:color="auto" w:sz="4" w:space="0"/>
              <w:right w:val="single" w:color="auto" w:sz="4" w:space="0"/>
            </w:tcBorders>
            <w:vAlign w:val="center"/>
          </w:tc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vAlign w:val="center"/>
          </w:tcPr>
          <w:p>
            <w:pPr>
              <w:jc w:val="center"/>
            </w:pPr>
          </w:p>
        </w:tc>
        <w:tc>
          <w:tcPr>
            <w:tcW w:w="687" w:type="dxa"/>
            <w:tcBorders>
              <w:top w:val="single" w:color="auto" w:sz="4" w:space="0"/>
              <w:left w:val="nil"/>
              <w:bottom w:val="single" w:color="auto" w:sz="4" w:space="0"/>
              <w:right w:val="single" w:color="auto" w:sz="4" w:space="0"/>
            </w:tcBorders>
            <w:vAlign w:val="center"/>
          </w:tcPr>
          <w:p>
            <w:pPr>
              <w:jc w:val="center"/>
            </w:pPr>
          </w:p>
        </w:tc>
        <w:tc>
          <w:tcPr>
            <w:tcW w:w="656" w:type="dxa"/>
            <w:tcBorders>
              <w:top w:val="single" w:color="auto" w:sz="4" w:space="0"/>
              <w:left w:val="nil"/>
              <w:bottom w:val="single" w:color="auto" w:sz="4" w:space="0"/>
              <w:right w:val="single" w:color="auto" w:sz="4" w:space="0"/>
            </w:tcBorders>
            <w:vAlign w:val="center"/>
          </w:tcPr>
          <w:p>
            <w:pPr>
              <w:jc w:val="center"/>
            </w:pPr>
          </w:p>
        </w:tc>
        <w:tc>
          <w:tcPr>
            <w:tcW w:w="2357" w:type="dxa"/>
            <w:tcBorders>
              <w:top w:val="single" w:color="auto" w:sz="4" w:space="0"/>
              <w:left w:val="nil"/>
              <w:bottom w:val="single" w:color="auto" w:sz="4" w:space="0"/>
              <w:right w:val="single" w:color="auto" w:sz="4" w:space="0"/>
            </w:tcBorders>
            <w:vAlign w:val="center"/>
          </w:tcPr>
          <w:p>
            <w:pPr>
              <w:jc w:val="center"/>
            </w:pPr>
          </w:p>
        </w:tc>
        <w:tc>
          <w:tcPr>
            <w:tcW w:w="1374" w:type="dxa"/>
            <w:tcBorders>
              <w:top w:val="single" w:color="auto" w:sz="4" w:space="0"/>
              <w:left w:val="nil"/>
              <w:bottom w:val="single" w:color="auto" w:sz="4" w:space="0"/>
              <w:right w:val="single" w:color="auto" w:sz="4" w:space="0"/>
            </w:tcBorders>
            <w:vAlign w:val="center"/>
          </w:tcPr>
          <w:p>
            <w:pPr>
              <w:jc w:val="center"/>
            </w:pPr>
          </w:p>
        </w:tc>
        <w:tc>
          <w:tcPr>
            <w:tcW w:w="1055" w:type="dxa"/>
            <w:tcBorders>
              <w:top w:val="nil"/>
              <w:left w:val="nil"/>
              <w:bottom w:val="single" w:color="auto" w:sz="4" w:space="0"/>
              <w:right w:val="single" w:color="auto" w:sz="4" w:space="0"/>
            </w:tcBorders>
            <w:vAlign w:val="center"/>
          </w:tcPr>
          <w:p>
            <w:pPr>
              <w:jc w:val="center"/>
            </w:pPr>
          </w:p>
        </w:tc>
        <w:tc>
          <w:tcPr>
            <w:tcW w:w="1102" w:type="dxa"/>
            <w:tcBorders>
              <w:top w:val="nil"/>
              <w:left w:val="single" w:color="auto" w:sz="4" w:space="0"/>
              <w:bottom w:val="single" w:color="auto" w:sz="4" w:space="0"/>
              <w:right w:val="single" w:color="auto" w:sz="4" w:space="0"/>
            </w:tcBorders>
            <w:vAlign w:val="center"/>
          </w:tcPr>
          <w:p>
            <w:pPr>
              <w:jc w:val="center"/>
            </w:pPr>
          </w:p>
        </w:tc>
        <w:tc>
          <w:tcPr>
            <w:tcW w:w="1398" w:type="dxa"/>
            <w:tcBorders>
              <w:top w:val="single" w:color="auto" w:sz="4" w:space="0"/>
              <w:left w:val="nil"/>
              <w:bottom w:val="single" w:color="auto" w:sz="4" w:space="0"/>
              <w:right w:val="single" w:color="auto" w:sz="4" w:space="0"/>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pPr>
          </w:p>
        </w:tc>
        <w:tc>
          <w:tcPr>
            <w:tcW w:w="687" w:type="dxa"/>
            <w:tcBorders>
              <w:top w:val="nil"/>
              <w:left w:val="nil"/>
              <w:bottom w:val="single" w:color="auto" w:sz="4" w:space="0"/>
              <w:right w:val="single" w:color="auto" w:sz="4" w:space="0"/>
            </w:tcBorders>
            <w:vAlign w:val="center"/>
          </w:tcPr>
          <w:p>
            <w:pPr>
              <w:jc w:val="center"/>
            </w:pPr>
          </w:p>
        </w:tc>
        <w:tc>
          <w:tcPr>
            <w:tcW w:w="656" w:type="dxa"/>
            <w:tcBorders>
              <w:top w:val="nil"/>
              <w:left w:val="nil"/>
              <w:bottom w:val="single" w:color="auto" w:sz="4" w:space="0"/>
              <w:right w:val="single" w:color="auto" w:sz="4" w:space="0"/>
            </w:tcBorders>
            <w:vAlign w:val="center"/>
          </w:tcPr>
          <w:p>
            <w:pPr>
              <w:jc w:val="center"/>
            </w:pPr>
          </w:p>
        </w:tc>
        <w:tc>
          <w:tcPr>
            <w:tcW w:w="2357" w:type="dxa"/>
            <w:tcBorders>
              <w:top w:val="nil"/>
              <w:left w:val="nil"/>
              <w:bottom w:val="single" w:color="auto" w:sz="4" w:space="0"/>
              <w:right w:val="single" w:color="auto" w:sz="4" w:space="0"/>
            </w:tcBorders>
            <w:vAlign w:val="center"/>
          </w:tcPr>
          <w:p>
            <w:pPr>
              <w:jc w:val="center"/>
            </w:pPr>
          </w:p>
        </w:tc>
        <w:tc>
          <w:tcPr>
            <w:tcW w:w="1374" w:type="dxa"/>
            <w:tcBorders>
              <w:top w:val="nil"/>
              <w:left w:val="nil"/>
              <w:bottom w:val="single" w:color="auto" w:sz="4" w:space="0"/>
              <w:right w:val="single" w:color="auto" w:sz="4" w:space="0"/>
            </w:tcBorders>
            <w:vAlign w:val="center"/>
          </w:tcPr>
          <w:p>
            <w:pPr>
              <w:jc w:val="center"/>
            </w:pPr>
          </w:p>
        </w:tc>
        <w:tc>
          <w:tcPr>
            <w:tcW w:w="1055" w:type="dxa"/>
            <w:tcBorders>
              <w:top w:val="nil"/>
              <w:left w:val="nil"/>
              <w:bottom w:val="single" w:color="auto" w:sz="4" w:space="0"/>
              <w:right w:val="single" w:color="auto" w:sz="4" w:space="0"/>
            </w:tcBorders>
            <w:vAlign w:val="center"/>
          </w:tcPr>
          <w:p>
            <w:pPr>
              <w:jc w:val="center"/>
            </w:pPr>
          </w:p>
        </w:tc>
        <w:tc>
          <w:tcPr>
            <w:tcW w:w="1102" w:type="dxa"/>
            <w:tcBorders>
              <w:top w:val="nil"/>
              <w:left w:val="single" w:color="auto" w:sz="4" w:space="0"/>
              <w:bottom w:val="single" w:color="auto" w:sz="4" w:space="0"/>
              <w:right w:val="single" w:color="auto" w:sz="4" w:space="0"/>
            </w:tcBorders>
            <w:vAlign w:val="center"/>
          </w:tcPr>
          <w:p>
            <w:pPr>
              <w:jc w:val="center"/>
            </w:pPr>
          </w:p>
        </w:tc>
        <w:tc>
          <w:tcPr>
            <w:tcW w:w="1398" w:type="dxa"/>
            <w:tcBorders>
              <w:top w:val="nil"/>
              <w:left w:val="nil"/>
              <w:bottom w:val="single" w:color="auto" w:sz="4" w:space="0"/>
              <w:right w:val="single" w:color="auto" w:sz="4" w:space="0"/>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pPr>
          </w:p>
        </w:tc>
        <w:tc>
          <w:tcPr>
            <w:tcW w:w="687" w:type="dxa"/>
            <w:tcBorders>
              <w:top w:val="nil"/>
              <w:left w:val="nil"/>
              <w:bottom w:val="single" w:color="auto" w:sz="4" w:space="0"/>
              <w:right w:val="single" w:color="auto" w:sz="4" w:space="0"/>
            </w:tcBorders>
            <w:vAlign w:val="center"/>
          </w:tcPr>
          <w:p>
            <w:pPr>
              <w:jc w:val="center"/>
            </w:pPr>
          </w:p>
        </w:tc>
        <w:tc>
          <w:tcPr>
            <w:tcW w:w="656" w:type="dxa"/>
            <w:tcBorders>
              <w:top w:val="nil"/>
              <w:left w:val="nil"/>
              <w:bottom w:val="single" w:color="auto" w:sz="4" w:space="0"/>
              <w:right w:val="single" w:color="auto" w:sz="4" w:space="0"/>
            </w:tcBorders>
            <w:vAlign w:val="center"/>
          </w:tcPr>
          <w:p>
            <w:pPr>
              <w:jc w:val="center"/>
            </w:pPr>
          </w:p>
        </w:tc>
        <w:tc>
          <w:tcPr>
            <w:tcW w:w="2357" w:type="dxa"/>
            <w:tcBorders>
              <w:top w:val="nil"/>
              <w:left w:val="nil"/>
              <w:bottom w:val="single" w:color="auto" w:sz="4" w:space="0"/>
              <w:right w:val="single" w:color="auto" w:sz="4" w:space="0"/>
            </w:tcBorders>
            <w:vAlign w:val="center"/>
          </w:tcPr>
          <w:p>
            <w:pPr>
              <w:jc w:val="center"/>
            </w:pPr>
          </w:p>
        </w:tc>
        <w:tc>
          <w:tcPr>
            <w:tcW w:w="1374" w:type="dxa"/>
            <w:tcBorders>
              <w:top w:val="nil"/>
              <w:left w:val="nil"/>
              <w:bottom w:val="single" w:color="auto" w:sz="4" w:space="0"/>
              <w:right w:val="single" w:color="auto" w:sz="4" w:space="0"/>
            </w:tcBorders>
            <w:vAlign w:val="center"/>
          </w:tcPr>
          <w:p>
            <w:pPr>
              <w:jc w:val="center"/>
            </w:pPr>
          </w:p>
        </w:tc>
        <w:tc>
          <w:tcPr>
            <w:tcW w:w="1055" w:type="dxa"/>
            <w:tcBorders>
              <w:top w:val="nil"/>
              <w:left w:val="nil"/>
              <w:bottom w:val="single" w:color="auto" w:sz="4" w:space="0"/>
              <w:right w:val="single" w:color="auto" w:sz="4" w:space="0"/>
            </w:tcBorders>
            <w:vAlign w:val="center"/>
          </w:tcPr>
          <w:p>
            <w:pPr>
              <w:jc w:val="center"/>
            </w:pPr>
          </w:p>
        </w:tc>
        <w:tc>
          <w:tcPr>
            <w:tcW w:w="1102" w:type="dxa"/>
            <w:tcBorders>
              <w:top w:val="nil"/>
              <w:left w:val="single" w:color="auto" w:sz="4" w:space="0"/>
              <w:bottom w:val="single" w:color="auto" w:sz="4" w:space="0"/>
              <w:right w:val="single" w:color="auto" w:sz="4" w:space="0"/>
            </w:tcBorders>
            <w:vAlign w:val="center"/>
          </w:tcPr>
          <w:p>
            <w:pPr>
              <w:jc w:val="center"/>
            </w:pPr>
          </w:p>
        </w:tc>
        <w:tc>
          <w:tcPr>
            <w:tcW w:w="1398" w:type="dxa"/>
            <w:tcBorders>
              <w:top w:val="nil"/>
              <w:left w:val="nil"/>
              <w:bottom w:val="single" w:color="auto" w:sz="4" w:space="0"/>
              <w:right w:val="single" w:color="auto" w:sz="4" w:space="0"/>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pPr>
          </w:p>
        </w:tc>
        <w:tc>
          <w:tcPr>
            <w:tcW w:w="687" w:type="dxa"/>
            <w:tcBorders>
              <w:top w:val="nil"/>
              <w:left w:val="nil"/>
              <w:bottom w:val="single" w:color="auto" w:sz="4" w:space="0"/>
              <w:right w:val="single" w:color="auto" w:sz="4" w:space="0"/>
            </w:tcBorders>
            <w:vAlign w:val="center"/>
          </w:tcPr>
          <w:p>
            <w:pPr>
              <w:jc w:val="center"/>
            </w:pPr>
          </w:p>
        </w:tc>
        <w:tc>
          <w:tcPr>
            <w:tcW w:w="656" w:type="dxa"/>
            <w:tcBorders>
              <w:top w:val="nil"/>
              <w:left w:val="nil"/>
              <w:bottom w:val="single" w:color="auto" w:sz="4" w:space="0"/>
              <w:right w:val="single" w:color="auto" w:sz="4" w:space="0"/>
            </w:tcBorders>
            <w:vAlign w:val="center"/>
          </w:tcPr>
          <w:p>
            <w:pPr>
              <w:jc w:val="center"/>
            </w:pPr>
          </w:p>
        </w:tc>
        <w:tc>
          <w:tcPr>
            <w:tcW w:w="2357" w:type="dxa"/>
            <w:tcBorders>
              <w:top w:val="nil"/>
              <w:left w:val="nil"/>
              <w:bottom w:val="single" w:color="auto" w:sz="4" w:space="0"/>
              <w:right w:val="single" w:color="auto" w:sz="4" w:space="0"/>
            </w:tcBorders>
            <w:vAlign w:val="center"/>
          </w:tcPr>
          <w:p>
            <w:pPr>
              <w:jc w:val="center"/>
            </w:pPr>
          </w:p>
        </w:tc>
        <w:tc>
          <w:tcPr>
            <w:tcW w:w="1374" w:type="dxa"/>
            <w:tcBorders>
              <w:top w:val="nil"/>
              <w:left w:val="nil"/>
              <w:bottom w:val="single" w:color="auto" w:sz="4" w:space="0"/>
              <w:right w:val="single" w:color="auto" w:sz="4" w:space="0"/>
            </w:tcBorders>
            <w:vAlign w:val="center"/>
          </w:tcPr>
          <w:p>
            <w:pPr>
              <w:jc w:val="center"/>
            </w:pPr>
          </w:p>
        </w:tc>
        <w:tc>
          <w:tcPr>
            <w:tcW w:w="1055" w:type="dxa"/>
            <w:tcBorders>
              <w:top w:val="nil"/>
              <w:left w:val="nil"/>
              <w:bottom w:val="single" w:color="auto" w:sz="4" w:space="0"/>
              <w:right w:val="single" w:color="auto" w:sz="4" w:space="0"/>
            </w:tcBorders>
            <w:vAlign w:val="center"/>
          </w:tcPr>
          <w:p>
            <w:pPr>
              <w:jc w:val="center"/>
            </w:pPr>
          </w:p>
        </w:tc>
        <w:tc>
          <w:tcPr>
            <w:tcW w:w="1102" w:type="dxa"/>
            <w:tcBorders>
              <w:top w:val="nil"/>
              <w:left w:val="single" w:color="auto" w:sz="4" w:space="0"/>
              <w:bottom w:val="single" w:color="auto" w:sz="4" w:space="0"/>
              <w:right w:val="single" w:color="auto" w:sz="4" w:space="0"/>
            </w:tcBorders>
            <w:vAlign w:val="center"/>
          </w:tcPr>
          <w:p>
            <w:pPr>
              <w:jc w:val="center"/>
            </w:pPr>
          </w:p>
        </w:tc>
        <w:tc>
          <w:tcPr>
            <w:tcW w:w="1398" w:type="dxa"/>
            <w:tcBorders>
              <w:top w:val="nil"/>
              <w:left w:val="nil"/>
              <w:bottom w:val="single" w:color="auto" w:sz="4" w:space="0"/>
              <w:right w:val="single" w:color="auto" w:sz="4" w:space="0"/>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pPr>
          </w:p>
        </w:tc>
        <w:tc>
          <w:tcPr>
            <w:tcW w:w="687" w:type="dxa"/>
            <w:tcBorders>
              <w:top w:val="nil"/>
              <w:left w:val="nil"/>
              <w:bottom w:val="single" w:color="auto" w:sz="4" w:space="0"/>
              <w:right w:val="single" w:color="auto" w:sz="4" w:space="0"/>
            </w:tcBorders>
            <w:vAlign w:val="center"/>
          </w:tcPr>
          <w:p>
            <w:pPr>
              <w:jc w:val="center"/>
            </w:pPr>
          </w:p>
        </w:tc>
        <w:tc>
          <w:tcPr>
            <w:tcW w:w="656" w:type="dxa"/>
            <w:tcBorders>
              <w:top w:val="nil"/>
              <w:left w:val="nil"/>
              <w:bottom w:val="single" w:color="auto" w:sz="4" w:space="0"/>
              <w:right w:val="single" w:color="auto" w:sz="4" w:space="0"/>
            </w:tcBorders>
            <w:vAlign w:val="center"/>
          </w:tcPr>
          <w:p>
            <w:pPr>
              <w:jc w:val="center"/>
            </w:pPr>
          </w:p>
        </w:tc>
        <w:tc>
          <w:tcPr>
            <w:tcW w:w="2357" w:type="dxa"/>
            <w:tcBorders>
              <w:top w:val="nil"/>
              <w:left w:val="nil"/>
              <w:bottom w:val="single" w:color="auto" w:sz="4" w:space="0"/>
              <w:right w:val="single" w:color="auto" w:sz="4" w:space="0"/>
            </w:tcBorders>
            <w:vAlign w:val="center"/>
          </w:tcPr>
          <w:p>
            <w:pPr>
              <w:jc w:val="center"/>
            </w:pPr>
          </w:p>
        </w:tc>
        <w:tc>
          <w:tcPr>
            <w:tcW w:w="1374" w:type="dxa"/>
            <w:tcBorders>
              <w:top w:val="nil"/>
              <w:left w:val="nil"/>
              <w:bottom w:val="single" w:color="auto" w:sz="4" w:space="0"/>
              <w:right w:val="single" w:color="auto" w:sz="4" w:space="0"/>
            </w:tcBorders>
            <w:vAlign w:val="center"/>
          </w:tcPr>
          <w:p>
            <w:pPr>
              <w:jc w:val="center"/>
            </w:pPr>
          </w:p>
        </w:tc>
        <w:tc>
          <w:tcPr>
            <w:tcW w:w="1055" w:type="dxa"/>
            <w:tcBorders>
              <w:top w:val="nil"/>
              <w:left w:val="nil"/>
              <w:bottom w:val="single" w:color="auto" w:sz="4" w:space="0"/>
              <w:right w:val="single" w:color="auto" w:sz="4" w:space="0"/>
            </w:tcBorders>
            <w:vAlign w:val="center"/>
          </w:tcPr>
          <w:p>
            <w:pPr>
              <w:jc w:val="center"/>
            </w:pPr>
          </w:p>
        </w:tc>
        <w:tc>
          <w:tcPr>
            <w:tcW w:w="1102" w:type="dxa"/>
            <w:tcBorders>
              <w:top w:val="nil"/>
              <w:left w:val="single" w:color="auto" w:sz="4" w:space="0"/>
              <w:bottom w:val="single" w:color="auto" w:sz="4" w:space="0"/>
              <w:right w:val="single" w:color="auto" w:sz="4" w:space="0"/>
            </w:tcBorders>
            <w:vAlign w:val="center"/>
          </w:tcPr>
          <w:p>
            <w:pPr>
              <w:jc w:val="center"/>
            </w:pPr>
          </w:p>
        </w:tc>
        <w:tc>
          <w:tcPr>
            <w:tcW w:w="1398" w:type="dxa"/>
            <w:tcBorders>
              <w:top w:val="nil"/>
              <w:left w:val="nil"/>
              <w:bottom w:val="single" w:color="auto" w:sz="4" w:space="0"/>
              <w:right w:val="single" w:color="auto" w:sz="4" w:space="0"/>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pPr>
          </w:p>
        </w:tc>
        <w:tc>
          <w:tcPr>
            <w:tcW w:w="687" w:type="dxa"/>
            <w:tcBorders>
              <w:top w:val="nil"/>
              <w:left w:val="nil"/>
              <w:bottom w:val="single" w:color="auto" w:sz="4" w:space="0"/>
              <w:right w:val="single" w:color="auto" w:sz="4" w:space="0"/>
            </w:tcBorders>
            <w:vAlign w:val="center"/>
          </w:tcPr>
          <w:p>
            <w:pPr>
              <w:jc w:val="center"/>
            </w:pPr>
          </w:p>
        </w:tc>
        <w:tc>
          <w:tcPr>
            <w:tcW w:w="656" w:type="dxa"/>
            <w:tcBorders>
              <w:top w:val="nil"/>
              <w:left w:val="nil"/>
              <w:bottom w:val="single" w:color="auto" w:sz="4" w:space="0"/>
              <w:right w:val="single" w:color="auto" w:sz="4" w:space="0"/>
            </w:tcBorders>
            <w:vAlign w:val="center"/>
          </w:tcPr>
          <w:p>
            <w:pPr>
              <w:jc w:val="center"/>
            </w:pPr>
          </w:p>
        </w:tc>
        <w:tc>
          <w:tcPr>
            <w:tcW w:w="2357" w:type="dxa"/>
            <w:tcBorders>
              <w:top w:val="nil"/>
              <w:left w:val="nil"/>
              <w:bottom w:val="single" w:color="auto" w:sz="4" w:space="0"/>
              <w:right w:val="single" w:color="auto" w:sz="4" w:space="0"/>
            </w:tcBorders>
            <w:vAlign w:val="center"/>
          </w:tcPr>
          <w:p>
            <w:pPr>
              <w:jc w:val="center"/>
            </w:pPr>
          </w:p>
        </w:tc>
        <w:tc>
          <w:tcPr>
            <w:tcW w:w="1374" w:type="dxa"/>
            <w:tcBorders>
              <w:top w:val="nil"/>
              <w:left w:val="nil"/>
              <w:bottom w:val="single" w:color="auto" w:sz="4" w:space="0"/>
              <w:right w:val="single" w:color="auto" w:sz="4" w:space="0"/>
            </w:tcBorders>
            <w:vAlign w:val="center"/>
          </w:tcPr>
          <w:p>
            <w:pPr>
              <w:jc w:val="center"/>
            </w:pPr>
          </w:p>
        </w:tc>
        <w:tc>
          <w:tcPr>
            <w:tcW w:w="1055" w:type="dxa"/>
            <w:tcBorders>
              <w:top w:val="nil"/>
              <w:left w:val="nil"/>
              <w:bottom w:val="single" w:color="auto" w:sz="4" w:space="0"/>
              <w:right w:val="single" w:color="auto" w:sz="4" w:space="0"/>
            </w:tcBorders>
            <w:vAlign w:val="center"/>
          </w:tcPr>
          <w:p>
            <w:pPr>
              <w:jc w:val="center"/>
            </w:pPr>
          </w:p>
        </w:tc>
        <w:tc>
          <w:tcPr>
            <w:tcW w:w="1102" w:type="dxa"/>
            <w:tcBorders>
              <w:top w:val="nil"/>
              <w:left w:val="single" w:color="auto" w:sz="4" w:space="0"/>
              <w:bottom w:val="single" w:color="auto" w:sz="4" w:space="0"/>
              <w:right w:val="single" w:color="auto" w:sz="4" w:space="0"/>
            </w:tcBorders>
            <w:vAlign w:val="center"/>
          </w:tcPr>
          <w:p>
            <w:pPr>
              <w:jc w:val="center"/>
            </w:pPr>
          </w:p>
        </w:tc>
        <w:tc>
          <w:tcPr>
            <w:tcW w:w="1398" w:type="dxa"/>
            <w:tcBorders>
              <w:top w:val="nil"/>
              <w:left w:val="nil"/>
              <w:bottom w:val="single" w:color="auto" w:sz="4" w:space="0"/>
              <w:right w:val="single" w:color="auto" w:sz="4" w:space="0"/>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pPr>
          </w:p>
        </w:tc>
        <w:tc>
          <w:tcPr>
            <w:tcW w:w="687" w:type="dxa"/>
            <w:tcBorders>
              <w:top w:val="nil"/>
              <w:left w:val="nil"/>
              <w:bottom w:val="single" w:color="auto" w:sz="4" w:space="0"/>
              <w:right w:val="single" w:color="auto" w:sz="4" w:space="0"/>
            </w:tcBorders>
            <w:vAlign w:val="center"/>
          </w:tcPr>
          <w:p>
            <w:pPr>
              <w:jc w:val="center"/>
            </w:pPr>
          </w:p>
        </w:tc>
        <w:tc>
          <w:tcPr>
            <w:tcW w:w="656" w:type="dxa"/>
            <w:tcBorders>
              <w:top w:val="nil"/>
              <w:left w:val="nil"/>
              <w:bottom w:val="single" w:color="auto" w:sz="4" w:space="0"/>
              <w:right w:val="single" w:color="auto" w:sz="4" w:space="0"/>
            </w:tcBorders>
            <w:vAlign w:val="center"/>
          </w:tcPr>
          <w:p>
            <w:pPr>
              <w:jc w:val="center"/>
            </w:pPr>
          </w:p>
        </w:tc>
        <w:tc>
          <w:tcPr>
            <w:tcW w:w="2357" w:type="dxa"/>
            <w:tcBorders>
              <w:top w:val="nil"/>
              <w:left w:val="nil"/>
              <w:bottom w:val="single" w:color="auto" w:sz="4" w:space="0"/>
              <w:right w:val="single" w:color="auto" w:sz="4" w:space="0"/>
            </w:tcBorders>
            <w:vAlign w:val="center"/>
          </w:tcPr>
          <w:p>
            <w:pPr>
              <w:jc w:val="center"/>
            </w:pPr>
          </w:p>
        </w:tc>
        <w:tc>
          <w:tcPr>
            <w:tcW w:w="1374" w:type="dxa"/>
            <w:tcBorders>
              <w:top w:val="nil"/>
              <w:left w:val="nil"/>
              <w:bottom w:val="single" w:color="auto" w:sz="4" w:space="0"/>
              <w:right w:val="single" w:color="auto" w:sz="4" w:space="0"/>
            </w:tcBorders>
            <w:vAlign w:val="center"/>
          </w:tcPr>
          <w:p>
            <w:pPr>
              <w:jc w:val="center"/>
            </w:pPr>
          </w:p>
        </w:tc>
        <w:tc>
          <w:tcPr>
            <w:tcW w:w="1055" w:type="dxa"/>
            <w:tcBorders>
              <w:top w:val="nil"/>
              <w:left w:val="nil"/>
              <w:bottom w:val="single" w:color="auto" w:sz="4" w:space="0"/>
              <w:right w:val="single" w:color="auto" w:sz="4" w:space="0"/>
            </w:tcBorders>
            <w:vAlign w:val="center"/>
          </w:tcPr>
          <w:p>
            <w:pPr>
              <w:jc w:val="center"/>
            </w:pPr>
          </w:p>
        </w:tc>
        <w:tc>
          <w:tcPr>
            <w:tcW w:w="1102" w:type="dxa"/>
            <w:tcBorders>
              <w:top w:val="nil"/>
              <w:left w:val="single" w:color="auto" w:sz="4" w:space="0"/>
              <w:bottom w:val="single" w:color="auto" w:sz="4" w:space="0"/>
              <w:right w:val="single" w:color="auto" w:sz="4" w:space="0"/>
            </w:tcBorders>
            <w:vAlign w:val="center"/>
          </w:tcPr>
          <w:p>
            <w:pPr>
              <w:jc w:val="center"/>
            </w:pPr>
          </w:p>
        </w:tc>
        <w:tc>
          <w:tcPr>
            <w:tcW w:w="1398" w:type="dxa"/>
            <w:tcBorders>
              <w:top w:val="nil"/>
              <w:left w:val="nil"/>
              <w:bottom w:val="single" w:color="auto" w:sz="4" w:space="0"/>
              <w:right w:val="single" w:color="auto" w:sz="4" w:space="0"/>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pPr>
          </w:p>
        </w:tc>
        <w:tc>
          <w:tcPr>
            <w:tcW w:w="687" w:type="dxa"/>
            <w:tcBorders>
              <w:top w:val="nil"/>
              <w:left w:val="nil"/>
              <w:bottom w:val="single" w:color="auto" w:sz="4" w:space="0"/>
              <w:right w:val="single" w:color="auto" w:sz="4" w:space="0"/>
            </w:tcBorders>
            <w:vAlign w:val="center"/>
          </w:tcPr>
          <w:p>
            <w:pPr>
              <w:jc w:val="center"/>
            </w:pPr>
          </w:p>
        </w:tc>
        <w:tc>
          <w:tcPr>
            <w:tcW w:w="656" w:type="dxa"/>
            <w:tcBorders>
              <w:top w:val="nil"/>
              <w:left w:val="nil"/>
              <w:bottom w:val="single" w:color="auto" w:sz="4" w:space="0"/>
              <w:right w:val="single" w:color="auto" w:sz="4" w:space="0"/>
            </w:tcBorders>
            <w:vAlign w:val="center"/>
          </w:tcPr>
          <w:p>
            <w:pPr>
              <w:jc w:val="center"/>
            </w:pPr>
          </w:p>
        </w:tc>
        <w:tc>
          <w:tcPr>
            <w:tcW w:w="2357" w:type="dxa"/>
            <w:tcBorders>
              <w:top w:val="nil"/>
              <w:left w:val="nil"/>
              <w:bottom w:val="single" w:color="auto" w:sz="4" w:space="0"/>
              <w:right w:val="single" w:color="auto" w:sz="4" w:space="0"/>
            </w:tcBorders>
            <w:vAlign w:val="center"/>
          </w:tcPr>
          <w:p>
            <w:pPr>
              <w:jc w:val="center"/>
            </w:pPr>
          </w:p>
        </w:tc>
        <w:tc>
          <w:tcPr>
            <w:tcW w:w="1374" w:type="dxa"/>
            <w:tcBorders>
              <w:top w:val="nil"/>
              <w:left w:val="nil"/>
              <w:bottom w:val="single" w:color="auto" w:sz="4" w:space="0"/>
              <w:right w:val="single" w:color="auto" w:sz="4" w:space="0"/>
            </w:tcBorders>
            <w:vAlign w:val="center"/>
          </w:tcPr>
          <w:p>
            <w:pPr>
              <w:jc w:val="center"/>
            </w:pPr>
          </w:p>
        </w:tc>
        <w:tc>
          <w:tcPr>
            <w:tcW w:w="1055" w:type="dxa"/>
            <w:tcBorders>
              <w:top w:val="nil"/>
              <w:left w:val="nil"/>
              <w:bottom w:val="single" w:color="auto" w:sz="4" w:space="0"/>
              <w:right w:val="single" w:color="auto" w:sz="4" w:space="0"/>
            </w:tcBorders>
            <w:vAlign w:val="center"/>
          </w:tcPr>
          <w:p>
            <w:pPr>
              <w:jc w:val="center"/>
            </w:pPr>
          </w:p>
        </w:tc>
        <w:tc>
          <w:tcPr>
            <w:tcW w:w="1102" w:type="dxa"/>
            <w:tcBorders>
              <w:top w:val="nil"/>
              <w:left w:val="single" w:color="auto" w:sz="4" w:space="0"/>
              <w:bottom w:val="single" w:color="auto" w:sz="4" w:space="0"/>
              <w:right w:val="single" w:color="auto" w:sz="4" w:space="0"/>
            </w:tcBorders>
            <w:vAlign w:val="center"/>
          </w:tcPr>
          <w:p>
            <w:pPr>
              <w:jc w:val="center"/>
            </w:pPr>
          </w:p>
        </w:tc>
        <w:tc>
          <w:tcPr>
            <w:tcW w:w="1398" w:type="dxa"/>
            <w:tcBorders>
              <w:top w:val="nil"/>
              <w:left w:val="nil"/>
              <w:bottom w:val="single" w:color="auto" w:sz="4" w:space="0"/>
              <w:right w:val="single" w:color="auto" w:sz="4" w:space="0"/>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pPr>
          </w:p>
        </w:tc>
        <w:tc>
          <w:tcPr>
            <w:tcW w:w="687" w:type="dxa"/>
            <w:tcBorders>
              <w:top w:val="nil"/>
              <w:left w:val="nil"/>
              <w:bottom w:val="single" w:color="auto" w:sz="4" w:space="0"/>
              <w:right w:val="single" w:color="auto" w:sz="4" w:space="0"/>
            </w:tcBorders>
            <w:vAlign w:val="center"/>
          </w:tcPr>
          <w:p>
            <w:pPr>
              <w:jc w:val="center"/>
            </w:pPr>
          </w:p>
        </w:tc>
        <w:tc>
          <w:tcPr>
            <w:tcW w:w="656" w:type="dxa"/>
            <w:tcBorders>
              <w:top w:val="nil"/>
              <w:left w:val="nil"/>
              <w:bottom w:val="single" w:color="auto" w:sz="4" w:space="0"/>
              <w:right w:val="single" w:color="auto" w:sz="4" w:space="0"/>
            </w:tcBorders>
            <w:vAlign w:val="center"/>
          </w:tcPr>
          <w:p>
            <w:pPr>
              <w:jc w:val="center"/>
            </w:pPr>
          </w:p>
        </w:tc>
        <w:tc>
          <w:tcPr>
            <w:tcW w:w="2357" w:type="dxa"/>
            <w:tcBorders>
              <w:top w:val="nil"/>
              <w:left w:val="nil"/>
              <w:bottom w:val="single" w:color="auto" w:sz="4" w:space="0"/>
              <w:right w:val="single" w:color="auto" w:sz="4" w:space="0"/>
            </w:tcBorders>
            <w:vAlign w:val="center"/>
          </w:tcPr>
          <w:p>
            <w:pPr>
              <w:jc w:val="center"/>
            </w:pPr>
          </w:p>
        </w:tc>
        <w:tc>
          <w:tcPr>
            <w:tcW w:w="1374" w:type="dxa"/>
            <w:tcBorders>
              <w:top w:val="nil"/>
              <w:left w:val="nil"/>
              <w:bottom w:val="single" w:color="auto" w:sz="4" w:space="0"/>
              <w:right w:val="single" w:color="auto" w:sz="4" w:space="0"/>
            </w:tcBorders>
            <w:vAlign w:val="center"/>
          </w:tcPr>
          <w:p>
            <w:pPr>
              <w:jc w:val="center"/>
            </w:pPr>
          </w:p>
        </w:tc>
        <w:tc>
          <w:tcPr>
            <w:tcW w:w="1055" w:type="dxa"/>
            <w:tcBorders>
              <w:top w:val="nil"/>
              <w:left w:val="nil"/>
              <w:bottom w:val="single" w:color="auto" w:sz="4" w:space="0"/>
              <w:right w:val="single" w:color="auto" w:sz="4" w:space="0"/>
            </w:tcBorders>
            <w:vAlign w:val="center"/>
          </w:tcPr>
          <w:p>
            <w:pPr>
              <w:jc w:val="center"/>
            </w:pPr>
          </w:p>
        </w:tc>
        <w:tc>
          <w:tcPr>
            <w:tcW w:w="1102" w:type="dxa"/>
            <w:tcBorders>
              <w:top w:val="nil"/>
              <w:left w:val="single" w:color="auto" w:sz="4" w:space="0"/>
              <w:bottom w:val="single" w:color="auto" w:sz="4" w:space="0"/>
              <w:right w:val="single" w:color="auto" w:sz="4" w:space="0"/>
            </w:tcBorders>
            <w:vAlign w:val="center"/>
          </w:tcPr>
          <w:p>
            <w:pPr>
              <w:jc w:val="center"/>
            </w:pPr>
          </w:p>
        </w:tc>
        <w:tc>
          <w:tcPr>
            <w:tcW w:w="1398" w:type="dxa"/>
            <w:tcBorders>
              <w:top w:val="nil"/>
              <w:left w:val="nil"/>
              <w:bottom w:val="single" w:color="auto" w:sz="4" w:space="0"/>
              <w:right w:val="single" w:color="auto" w:sz="4" w:space="0"/>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pPr>
          </w:p>
        </w:tc>
        <w:tc>
          <w:tcPr>
            <w:tcW w:w="687" w:type="dxa"/>
            <w:tcBorders>
              <w:top w:val="nil"/>
              <w:left w:val="nil"/>
              <w:bottom w:val="single" w:color="auto" w:sz="4" w:space="0"/>
              <w:right w:val="single" w:color="auto" w:sz="4" w:space="0"/>
            </w:tcBorders>
            <w:vAlign w:val="center"/>
          </w:tcPr>
          <w:p>
            <w:pPr>
              <w:jc w:val="center"/>
            </w:pPr>
          </w:p>
        </w:tc>
        <w:tc>
          <w:tcPr>
            <w:tcW w:w="656" w:type="dxa"/>
            <w:tcBorders>
              <w:top w:val="nil"/>
              <w:left w:val="nil"/>
              <w:bottom w:val="single" w:color="auto" w:sz="4" w:space="0"/>
              <w:right w:val="single" w:color="auto" w:sz="4" w:space="0"/>
            </w:tcBorders>
            <w:vAlign w:val="center"/>
          </w:tcPr>
          <w:p>
            <w:pPr>
              <w:jc w:val="center"/>
            </w:pPr>
          </w:p>
        </w:tc>
        <w:tc>
          <w:tcPr>
            <w:tcW w:w="2357" w:type="dxa"/>
            <w:tcBorders>
              <w:top w:val="nil"/>
              <w:left w:val="nil"/>
              <w:bottom w:val="single" w:color="auto" w:sz="4" w:space="0"/>
              <w:right w:val="single" w:color="auto" w:sz="4" w:space="0"/>
            </w:tcBorders>
            <w:vAlign w:val="center"/>
          </w:tcPr>
          <w:p>
            <w:pPr>
              <w:jc w:val="center"/>
            </w:pPr>
          </w:p>
        </w:tc>
        <w:tc>
          <w:tcPr>
            <w:tcW w:w="1374" w:type="dxa"/>
            <w:tcBorders>
              <w:top w:val="nil"/>
              <w:left w:val="nil"/>
              <w:bottom w:val="single" w:color="auto" w:sz="4" w:space="0"/>
              <w:right w:val="single" w:color="auto" w:sz="4" w:space="0"/>
            </w:tcBorders>
            <w:vAlign w:val="center"/>
          </w:tcPr>
          <w:p>
            <w:pPr>
              <w:jc w:val="center"/>
            </w:pPr>
          </w:p>
        </w:tc>
        <w:tc>
          <w:tcPr>
            <w:tcW w:w="1055" w:type="dxa"/>
            <w:tcBorders>
              <w:top w:val="nil"/>
              <w:left w:val="nil"/>
              <w:bottom w:val="single" w:color="auto" w:sz="4" w:space="0"/>
              <w:right w:val="single" w:color="auto" w:sz="4" w:space="0"/>
            </w:tcBorders>
            <w:vAlign w:val="center"/>
          </w:tcPr>
          <w:p>
            <w:pPr>
              <w:jc w:val="center"/>
            </w:pPr>
          </w:p>
        </w:tc>
        <w:tc>
          <w:tcPr>
            <w:tcW w:w="1102" w:type="dxa"/>
            <w:tcBorders>
              <w:top w:val="nil"/>
              <w:left w:val="single" w:color="auto" w:sz="4" w:space="0"/>
              <w:bottom w:val="single" w:color="auto" w:sz="4" w:space="0"/>
              <w:right w:val="single" w:color="auto" w:sz="4" w:space="0"/>
            </w:tcBorders>
            <w:vAlign w:val="center"/>
          </w:tcPr>
          <w:p>
            <w:pPr>
              <w:jc w:val="center"/>
            </w:pPr>
          </w:p>
        </w:tc>
        <w:tc>
          <w:tcPr>
            <w:tcW w:w="1398" w:type="dxa"/>
            <w:tcBorders>
              <w:top w:val="nil"/>
              <w:left w:val="nil"/>
              <w:bottom w:val="single" w:color="auto" w:sz="4" w:space="0"/>
              <w:right w:val="single" w:color="auto" w:sz="4" w:space="0"/>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pPr>
          </w:p>
        </w:tc>
        <w:tc>
          <w:tcPr>
            <w:tcW w:w="687" w:type="dxa"/>
            <w:tcBorders>
              <w:top w:val="nil"/>
              <w:left w:val="nil"/>
              <w:bottom w:val="single" w:color="auto" w:sz="4" w:space="0"/>
              <w:right w:val="single" w:color="auto" w:sz="4" w:space="0"/>
            </w:tcBorders>
            <w:vAlign w:val="center"/>
          </w:tcPr>
          <w:p>
            <w:pPr>
              <w:jc w:val="center"/>
            </w:pPr>
          </w:p>
        </w:tc>
        <w:tc>
          <w:tcPr>
            <w:tcW w:w="656" w:type="dxa"/>
            <w:tcBorders>
              <w:top w:val="nil"/>
              <w:left w:val="nil"/>
              <w:bottom w:val="single" w:color="auto" w:sz="4" w:space="0"/>
              <w:right w:val="single" w:color="auto" w:sz="4" w:space="0"/>
            </w:tcBorders>
            <w:vAlign w:val="center"/>
          </w:tcPr>
          <w:p>
            <w:pPr>
              <w:jc w:val="center"/>
            </w:pPr>
          </w:p>
        </w:tc>
        <w:tc>
          <w:tcPr>
            <w:tcW w:w="2357" w:type="dxa"/>
            <w:tcBorders>
              <w:top w:val="nil"/>
              <w:left w:val="nil"/>
              <w:bottom w:val="single" w:color="auto" w:sz="4" w:space="0"/>
              <w:right w:val="single" w:color="auto" w:sz="4" w:space="0"/>
            </w:tcBorders>
            <w:vAlign w:val="center"/>
          </w:tcPr>
          <w:p>
            <w:pPr>
              <w:jc w:val="center"/>
            </w:pPr>
          </w:p>
        </w:tc>
        <w:tc>
          <w:tcPr>
            <w:tcW w:w="1374" w:type="dxa"/>
            <w:tcBorders>
              <w:top w:val="nil"/>
              <w:left w:val="nil"/>
              <w:bottom w:val="single" w:color="auto" w:sz="4" w:space="0"/>
              <w:right w:val="single" w:color="auto" w:sz="4" w:space="0"/>
            </w:tcBorders>
            <w:vAlign w:val="center"/>
          </w:tcPr>
          <w:p>
            <w:pPr>
              <w:jc w:val="center"/>
            </w:pPr>
          </w:p>
        </w:tc>
        <w:tc>
          <w:tcPr>
            <w:tcW w:w="1055" w:type="dxa"/>
            <w:tcBorders>
              <w:top w:val="nil"/>
              <w:left w:val="nil"/>
              <w:bottom w:val="single" w:color="auto" w:sz="4" w:space="0"/>
              <w:right w:val="single" w:color="auto" w:sz="4" w:space="0"/>
            </w:tcBorders>
            <w:vAlign w:val="center"/>
          </w:tcPr>
          <w:p>
            <w:pPr>
              <w:jc w:val="center"/>
            </w:pPr>
          </w:p>
        </w:tc>
        <w:tc>
          <w:tcPr>
            <w:tcW w:w="1102" w:type="dxa"/>
            <w:tcBorders>
              <w:top w:val="nil"/>
              <w:left w:val="single" w:color="auto" w:sz="4" w:space="0"/>
              <w:bottom w:val="single" w:color="auto" w:sz="4" w:space="0"/>
              <w:right w:val="single" w:color="auto" w:sz="4" w:space="0"/>
            </w:tcBorders>
            <w:vAlign w:val="center"/>
          </w:tcPr>
          <w:p>
            <w:pPr>
              <w:jc w:val="center"/>
            </w:pPr>
          </w:p>
        </w:tc>
        <w:tc>
          <w:tcPr>
            <w:tcW w:w="1398" w:type="dxa"/>
            <w:tcBorders>
              <w:top w:val="nil"/>
              <w:left w:val="nil"/>
              <w:bottom w:val="single" w:color="auto" w:sz="4" w:space="0"/>
              <w:right w:val="single" w:color="auto" w:sz="4" w:space="0"/>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pPr>
          </w:p>
        </w:tc>
        <w:tc>
          <w:tcPr>
            <w:tcW w:w="687" w:type="dxa"/>
            <w:tcBorders>
              <w:top w:val="nil"/>
              <w:left w:val="nil"/>
              <w:bottom w:val="single" w:color="auto" w:sz="4" w:space="0"/>
              <w:right w:val="single" w:color="auto" w:sz="4" w:space="0"/>
            </w:tcBorders>
            <w:vAlign w:val="center"/>
          </w:tcPr>
          <w:p>
            <w:pPr>
              <w:jc w:val="center"/>
            </w:pPr>
          </w:p>
        </w:tc>
        <w:tc>
          <w:tcPr>
            <w:tcW w:w="656" w:type="dxa"/>
            <w:tcBorders>
              <w:top w:val="nil"/>
              <w:left w:val="nil"/>
              <w:bottom w:val="single" w:color="auto" w:sz="4" w:space="0"/>
              <w:right w:val="single" w:color="auto" w:sz="4" w:space="0"/>
            </w:tcBorders>
            <w:vAlign w:val="center"/>
          </w:tcPr>
          <w:p>
            <w:pPr>
              <w:jc w:val="center"/>
            </w:pPr>
          </w:p>
        </w:tc>
        <w:tc>
          <w:tcPr>
            <w:tcW w:w="2357" w:type="dxa"/>
            <w:tcBorders>
              <w:top w:val="nil"/>
              <w:left w:val="nil"/>
              <w:bottom w:val="single" w:color="auto" w:sz="4" w:space="0"/>
              <w:right w:val="single" w:color="auto" w:sz="4" w:space="0"/>
            </w:tcBorders>
            <w:vAlign w:val="center"/>
          </w:tcPr>
          <w:p>
            <w:pPr>
              <w:jc w:val="center"/>
            </w:pPr>
          </w:p>
        </w:tc>
        <w:tc>
          <w:tcPr>
            <w:tcW w:w="1374" w:type="dxa"/>
            <w:tcBorders>
              <w:top w:val="nil"/>
              <w:left w:val="nil"/>
              <w:bottom w:val="single" w:color="auto" w:sz="4" w:space="0"/>
              <w:right w:val="single" w:color="auto" w:sz="4" w:space="0"/>
            </w:tcBorders>
            <w:vAlign w:val="center"/>
          </w:tcPr>
          <w:p>
            <w:pPr>
              <w:jc w:val="center"/>
            </w:pPr>
          </w:p>
        </w:tc>
        <w:tc>
          <w:tcPr>
            <w:tcW w:w="1055" w:type="dxa"/>
            <w:tcBorders>
              <w:top w:val="nil"/>
              <w:left w:val="nil"/>
              <w:bottom w:val="single" w:color="auto" w:sz="4" w:space="0"/>
              <w:right w:val="single" w:color="auto" w:sz="4" w:space="0"/>
            </w:tcBorders>
            <w:vAlign w:val="center"/>
          </w:tcPr>
          <w:p>
            <w:pPr>
              <w:jc w:val="center"/>
            </w:pPr>
          </w:p>
        </w:tc>
        <w:tc>
          <w:tcPr>
            <w:tcW w:w="1102" w:type="dxa"/>
            <w:tcBorders>
              <w:top w:val="nil"/>
              <w:left w:val="single" w:color="auto" w:sz="4" w:space="0"/>
              <w:bottom w:val="single" w:color="auto" w:sz="4" w:space="0"/>
              <w:right w:val="single" w:color="auto" w:sz="4" w:space="0"/>
            </w:tcBorders>
            <w:vAlign w:val="center"/>
          </w:tcPr>
          <w:p>
            <w:pPr>
              <w:jc w:val="center"/>
            </w:pPr>
          </w:p>
        </w:tc>
        <w:tc>
          <w:tcPr>
            <w:tcW w:w="1398" w:type="dxa"/>
            <w:tcBorders>
              <w:top w:val="nil"/>
              <w:left w:val="nil"/>
              <w:bottom w:val="single" w:color="auto" w:sz="4" w:space="0"/>
              <w:right w:val="single" w:color="auto" w:sz="4" w:space="0"/>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pPr>
          </w:p>
        </w:tc>
        <w:tc>
          <w:tcPr>
            <w:tcW w:w="687" w:type="dxa"/>
            <w:tcBorders>
              <w:top w:val="nil"/>
              <w:left w:val="nil"/>
              <w:bottom w:val="single" w:color="auto" w:sz="4" w:space="0"/>
              <w:right w:val="single" w:color="auto" w:sz="4" w:space="0"/>
            </w:tcBorders>
            <w:vAlign w:val="center"/>
          </w:tcPr>
          <w:p>
            <w:pPr>
              <w:jc w:val="center"/>
            </w:pPr>
          </w:p>
        </w:tc>
        <w:tc>
          <w:tcPr>
            <w:tcW w:w="656" w:type="dxa"/>
            <w:tcBorders>
              <w:top w:val="nil"/>
              <w:left w:val="nil"/>
              <w:bottom w:val="single" w:color="auto" w:sz="4" w:space="0"/>
              <w:right w:val="single" w:color="auto" w:sz="4" w:space="0"/>
            </w:tcBorders>
            <w:vAlign w:val="center"/>
          </w:tcPr>
          <w:p>
            <w:pPr>
              <w:jc w:val="center"/>
            </w:pPr>
          </w:p>
        </w:tc>
        <w:tc>
          <w:tcPr>
            <w:tcW w:w="2357" w:type="dxa"/>
            <w:tcBorders>
              <w:top w:val="nil"/>
              <w:left w:val="nil"/>
              <w:bottom w:val="single" w:color="auto" w:sz="4" w:space="0"/>
              <w:right w:val="single" w:color="auto" w:sz="4" w:space="0"/>
            </w:tcBorders>
            <w:vAlign w:val="center"/>
          </w:tcPr>
          <w:p>
            <w:pPr>
              <w:jc w:val="center"/>
            </w:pPr>
          </w:p>
        </w:tc>
        <w:tc>
          <w:tcPr>
            <w:tcW w:w="1374" w:type="dxa"/>
            <w:tcBorders>
              <w:top w:val="nil"/>
              <w:left w:val="nil"/>
              <w:bottom w:val="single" w:color="auto" w:sz="4" w:space="0"/>
              <w:right w:val="single" w:color="auto" w:sz="4" w:space="0"/>
            </w:tcBorders>
            <w:vAlign w:val="center"/>
          </w:tcPr>
          <w:p>
            <w:pPr>
              <w:jc w:val="center"/>
            </w:pPr>
          </w:p>
        </w:tc>
        <w:tc>
          <w:tcPr>
            <w:tcW w:w="1055" w:type="dxa"/>
            <w:tcBorders>
              <w:top w:val="nil"/>
              <w:left w:val="nil"/>
              <w:bottom w:val="single" w:color="auto" w:sz="4" w:space="0"/>
              <w:right w:val="single" w:color="auto" w:sz="4" w:space="0"/>
            </w:tcBorders>
            <w:vAlign w:val="center"/>
          </w:tcPr>
          <w:p>
            <w:pPr>
              <w:jc w:val="center"/>
            </w:pPr>
          </w:p>
        </w:tc>
        <w:tc>
          <w:tcPr>
            <w:tcW w:w="1102" w:type="dxa"/>
            <w:tcBorders>
              <w:top w:val="nil"/>
              <w:left w:val="single" w:color="auto" w:sz="4" w:space="0"/>
              <w:bottom w:val="single" w:color="auto" w:sz="4" w:space="0"/>
              <w:right w:val="single" w:color="auto" w:sz="4" w:space="0"/>
            </w:tcBorders>
            <w:vAlign w:val="center"/>
          </w:tcPr>
          <w:p>
            <w:pPr>
              <w:jc w:val="center"/>
            </w:pPr>
          </w:p>
        </w:tc>
        <w:tc>
          <w:tcPr>
            <w:tcW w:w="1398" w:type="dxa"/>
            <w:tcBorders>
              <w:top w:val="nil"/>
              <w:left w:val="nil"/>
              <w:bottom w:val="single" w:color="auto" w:sz="4" w:space="0"/>
              <w:right w:val="single" w:color="auto" w:sz="4" w:space="0"/>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pPr>
          </w:p>
        </w:tc>
        <w:tc>
          <w:tcPr>
            <w:tcW w:w="687" w:type="dxa"/>
            <w:tcBorders>
              <w:top w:val="nil"/>
              <w:left w:val="nil"/>
              <w:bottom w:val="single" w:color="auto" w:sz="4" w:space="0"/>
              <w:right w:val="single" w:color="auto" w:sz="4" w:space="0"/>
            </w:tcBorders>
            <w:vAlign w:val="center"/>
          </w:tcPr>
          <w:p>
            <w:pPr>
              <w:jc w:val="center"/>
            </w:pPr>
          </w:p>
        </w:tc>
        <w:tc>
          <w:tcPr>
            <w:tcW w:w="656" w:type="dxa"/>
            <w:tcBorders>
              <w:top w:val="nil"/>
              <w:left w:val="nil"/>
              <w:bottom w:val="single" w:color="auto" w:sz="4" w:space="0"/>
              <w:right w:val="single" w:color="auto" w:sz="4" w:space="0"/>
            </w:tcBorders>
            <w:vAlign w:val="center"/>
          </w:tcPr>
          <w:p>
            <w:pPr>
              <w:jc w:val="center"/>
            </w:pPr>
          </w:p>
        </w:tc>
        <w:tc>
          <w:tcPr>
            <w:tcW w:w="2357" w:type="dxa"/>
            <w:tcBorders>
              <w:top w:val="nil"/>
              <w:left w:val="nil"/>
              <w:bottom w:val="single" w:color="auto" w:sz="4" w:space="0"/>
              <w:right w:val="single" w:color="auto" w:sz="4" w:space="0"/>
            </w:tcBorders>
            <w:vAlign w:val="center"/>
          </w:tcPr>
          <w:p>
            <w:pPr>
              <w:jc w:val="center"/>
            </w:pPr>
          </w:p>
        </w:tc>
        <w:tc>
          <w:tcPr>
            <w:tcW w:w="1374" w:type="dxa"/>
            <w:tcBorders>
              <w:top w:val="nil"/>
              <w:left w:val="nil"/>
              <w:bottom w:val="single" w:color="auto" w:sz="4" w:space="0"/>
              <w:right w:val="single" w:color="auto" w:sz="4" w:space="0"/>
            </w:tcBorders>
            <w:vAlign w:val="center"/>
          </w:tcPr>
          <w:p>
            <w:pPr>
              <w:jc w:val="center"/>
            </w:pPr>
          </w:p>
        </w:tc>
        <w:tc>
          <w:tcPr>
            <w:tcW w:w="1055" w:type="dxa"/>
            <w:tcBorders>
              <w:top w:val="nil"/>
              <w:left w:val="nil"/>
              <w:bottom w:val="single" w:color="auto" w:sz="4" w:space="0"/>
              <w:right w:val="single" w:color="auto" w:sz="4" w:space="0"/>
            </w:tcBorders>
            <w:vAlign w:val="center"/>
          </w:tcPr>
          <w:p>
            <w:pPr>
              <w:jc w:val="center"/>
            </w:pPr>
          </w:p>
        </w:tc>
        <w:tc>
          <w:tcPr>
            <w:tcW w:w="1102" w:type="dxa"/>
            <w:tcBorders>
              <w:top w:val="nil"/>
              <w:left w:val="single" w:color="auto" w:sz="4" w:space="0"/>
              <w:bottom w:val="single" w:color="auto" w:sz="4" w:space="0"/>
              <w:right w:val="single" w:color="auto" w:sz="4" w:space="0"/>
            </w:tcBorders>
            <w:vAlign w:val="center"/>
          </w:tcPr>
          <w:p>
            <w:pPr>
              <w:jc w:val="center"/>
            </w:pPr>
          </w:p>
        </w:tc>
        <w:tc>
          <w:tcPr>
            <w:tcW w:w="1398" w:type="dxa"/>
            <w:tcBorders>
              <w:top w:val="nil"/>
              <w:left w:val="nil"/>
              <w:bottom w:val="single" w:color="auto" w:sz="4" w:space="0"/>
              <w:right w:val="single" w:color="auto" w:sz="4" w:space="0"/>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pPr>
          </w:p>
        </w:tc>
        <w:tc>
          <w:tcPr>
            <w:tcW w:w="687" w:type="dxa"/>
            <w:tcBorders>
              <w:top w:val="nil"/>
              <w:left w:val="nil"/>
              <w:bottom w:val="single" w:color="auto" w:sz="4" w:space="0"/>
              <w:right w:val="single" w:color="auto" w:sz="4" w:space="0"/>
            </w:tcBorders>
            <w:vAlign w:val="center"/>
          </w:tcPr>
          <w:p>
            <w:pPr>
              <w:jc w:val="center"/>
            </w:pPr>
          </w:p>
        </w:tc>
        <w:tc>
          <w:tcPr>
            <w:tcW w:w="656" w:type="dxa"/>
            <w:tcBorders>
              <w:top w:val="nil"/>
              <w:left w:val="nil"/>
              <w:bottom w:val="single" w:color="auto" w:sz="4" w:space="0"/>
              <w:right w:val="single" w:color="auto" w:sz="4" w:space="0"/>
            </w:tcBorders>
            <w:vAlign w:val="center"/>
          </w:tcPr>
          <w:p>
            <w:pPr>
              <w:jc w:val="center"/>
            </w:pPr>
          </w:p>
        </w:tc>
        <w:tc>
          <w:tcPr>
            <w:tcW w:w="2357" w:type="dxa"/>
            <w:tcBorders>
              <w:top w:val="nil"/>
              <w:left w:val="nil"/>
              <w:bottom w:val="single" w:color="auto" w:sz="4" w:space="0"/>
              <w:right w:val="single" w:color="auto" w:sz="4" w:space="0"/>
            </w:tcBorders>
            <w:vAlign w:val="center"/>
          </w:tcPr>
          <w:p>
            <w:pPr>
              <w:jc w:val="center"/>
            </w:pPr>
          </w:p>
        </w:tc>
        <w:tc>
          <w:tcPr>
            <w:tcW w:w="1374" w:type="dxa"/>
            <w:tcBorders>
              <w:top w:val="nil"/>
              <w:left w:val="nil"/>
              <w:bottom w:val="single" w:color="auto" w:sz="4" w:space="0"/>
              <w:right w:val="single" w:color="auto" w:sz="4" w:space="0"/>
            </w:tcBorders>
            <w:vAlign w:val="center"/>
          </w:tcPr>
          <w:p>
            <w:pPr>
              <w:jc w:val="center"/>
            </w:pPr>
          </w:p>
        </w:tc>
        <w:tc>
          <w:tcPr>
            <w:tcW w:w="1055" w:type="dxa"/>
            <w:tcBorders>
              <w:top w:val="nil"/>
              <w:left w:val="nil"/>
              <w:bottom w:val="single" w:color="auto" w:sz="4" w:space="0"/>
              <w:right w:val="single" w:color="auto" w:sz="4" w:space="0"/>
            </w:tcBorders>
            <w:vAlign w:val="center"/>
          </w:tcPr>
          <w:p>
            <w:pPr>
              <w:jc w:val="center"/>
            </w:pPr>
          </w:p>
        </w:tc>
        <w:tc>
          <w:tcPr>
            <w:tcW w:w="1102" w:type="dxa"/>
            <w:tcBorders>
              <w:top w:val="nil"/>
              <w:left w:val="single" w:color="auto" w:sz="4" w:space="0"/>
              <w:bottom w:val="single" w:color="auto" w:sz="4" w:space="0"/>
              <w:right w:val="single" w:color="auto" w:sz="4" w:space="0"/>
            </w:tcBorders>
            <w:vAlign w:val="center"/>
          </w:tcPr>
          <w:p>
            <w:pPr>
              <w:jc w:val="center"/>
            </w:pPr>
          </w:p>
        </w:tc>
        <w:tc>
          <w:tcPr>
            <w:tcW w:w="1398" w:type="dxa"/>
            <w:tcBorders>
              <w:top w:val="nil"/>
              <w:left w:val="nil"/>
              <w:bottom w:val="single" w:color="auto" w:sz="4" w:space="0"/>
              <w:right w:val="single" w:color="auto" w:sz="4" w:space="0"/>
            </w:tcBorders>
            <w:vAlign w:val="center"/>
          </w:tcPr>
          <w:p>
            <w:pPr>
              <w:jc w:val="cente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vAlign w:val="center"/>
          </w:tcPr>
          <w:p>
            <w:pPr>
              <w:jc w:val="center"/>
            </w:pPr>
          </w:p>
        </w:tc>
        <w:tc>
          <w:tcPr>
            <w:tcW w:w="687" w:type="dxa"/>
            <w:tcBorders>
              <w:top w:val="nil"/>
              <w:left w:val="nil"/>
              <w:bottom w:val="single" w:color="auto" w:sz="4" w:space="0"/>
              <w:right w:val="single" w:color="auto" w:sz="4" w:space="0"/>
            </w:tcBorders>
            <w:vAlign w:val="center"/>
          </w:tcPr>
          <w:p>
            <w:pPr>
              <w:jc w:val="center"/>
            </w:pPr>
          </w:p>
        </w:tc>
        <w:tc>
          <w:tcPr>
            <w:tcW w:w="656" w:type="dxa"/>
            <w:tcBorders>
              <w:top w:val="nil"/>
              <w:left w:val="nil"/>
              <w:bottom w:val="single" w:color="auto" w:sz="4" w:space="0"/>
              <w:right w:val="single" w:color="auto" w:sz="4" w:space="0"/>
            </w:tcBorders>
            <w:vAlign w:val="center"/>
          </w:tcPr>
          <w:p>
            <w:pPr>
              <w:jc w:val="center"/>
            </w:pPr>
          </w:p>
        </w:tc>
        <w:tc>
          <w:tcPr>
            <w:tcW w:w="2357" w:type="dxa"/>
            <w:tcBorders>
              <w:top w:val="nil"/>
              <w:left w:val="nil"/>
              <w:bottom w:val="single" w:color="auto" w:sz="4" w:space="0"/>
              <w:right w:val="single" w:color="auto" w:sz="4" w:space="0"/>
            </w:tcBorders>
            <w:vAlign w:val="center"/>
          </w:tcPr>
          <w:p>
            <w:pPr>
              <w:jc w:val="center"/>
            </w:pPr>
            <w:r>
              <w:rPr>
                <w:rFonts w:hint="eastAsia"/>
              </w:rPr>
              <w:t>合  计</w:t>
            </w:r>
          </w:p>
        </w:tc>
        <w:tc>
          <w:tcPr>
            <w:tcW w:w="1374" w:type="dxa"/>
            <w:tcBorders>
              <w:top w:val="nil"/>
              <w:left w:val="nil"/>
              <w:bottom w:val="single" w:color="auto" w:sz="4" w:space="0"/>
              <w:right w:val="single" w:color="auto" w:sz="4" w:space="0"/>
            </w:tcBorders>
            <w:vAlign w:val="center"/>
          </w:tcPr>
          <w:p>
            <w:pPr>
              <w:jc w:val="center"/>
            </w:pPr>
          </w:p>
        </w:tc>
        <w:tc>
          <w:tcPr>
            <w:tcW w:w="1055" w:type="dxa"/>
            <w:tcBorders>
              <w:top w:val="nil"/>
              <w:left w:val="nil"/>
              <w:bottom w:val="single" w:color="auto" w:sz="4" w:space="0"/>
              <w:right w:val="single" w:color="auto" w:sz="4" w:space="0"/>
            </w:tcBorders>
            <w:vAlign w:val="center"/>
          </w:tcPr>
          <w:p>
            <w:pPr>
              <w:jc w:val="center"/>
            </w:pPr>
          </w:p>
        </w:tc>
        <w:tc>
          <w:tcPr>
            <w:tcW w:w="1102" w:type="dxa"/>
            <w:tcBorders>
              <w:top w:val="nil"/>
              <w:left w:val="single" w:color="auto" w:sz="4" w:space="0"/>
              <w:bottom w:val="single" w:color="auto" w:sz="4" w:space="0"/>
              <w:right w:val="single" w:color="auto" w:sz="4" w:space="0"/>
            </w:tcBorders>
            <w:vAlign w:val="center"/>
          </w:tcPr>
          <w:p>
            <w:pPr>
              <w:jc w:val="center"/>
            </w:pPr>
          </w:p>
        </w:tc>
        <w:tc>
          <w:tcPr>
            <w:tcW w:w="1398" w:type="dxa"/>
            <w:tcBorders>
              <w:top w:val="nil"/>
              <w:left w:val="nil"/>
              <w:bottom w:val="single" w:color="auto" w:sz="4" w:space="0"/>
              <w:right w:val="single" w:color="auto" w:sz="4" w:space="0"/>
            </w:tcBorders>
            <w:vAlign w:val="center"/>
          </w:tcPr>
          <w:p>
            <w:pPr>
              <w:jc w:val="center"/>
            </w:pPr>
          </w:p>
        </w:tc>
      </w:tr>
    </w:tbl>
    <w:p>
      <w:pPr>
        <w:widowControl/>
        <w:spacing w:line="280" w:lineRule="exact"/>
        <w:outlineLvl w:val="1"/>
        <w:rPr>
          <w:rFonts w:hint="eastAsia" w:ascii="仿宋_GB2312" w:hAnsi="宋体" w:eastAsia="仿宋_GB2312"/>
          <w:b/>
          <w:kern w:val="0"/>
          <w:sz w:val="28"/>
          <w:szCs w:val="32"/>
        </w:rPr>
      </w:pPr>
    </w:p>
    <w:p>
      <w:pPr>
        <w:widowControl/>
        <w:spacing w:line="280" w:lineRule="exact"/>
        <w:outlineLvl w:val="1"/>
        <w:rPr>
          <w:rFonts w:hint="eastAsia" w:ascii="仿宋_GB2312" w:hAnsi="宋体" w:eastAsia="仿宋_GB2312"/>
          <w:kern w:val="0"/>
          <w:sz w:val="32"/>
          <w:szCs w:val="32"/>
        </w:rPr>
      </w:pPr>
      <w:r>
        <w:rPr>
          <w:rFonts w:hint="eastAsia" w:ascii="仿宋_GB2312" w:hAnsi="宋体" w:eastAsia="仿宋_GB2312"/>
          <w:b/>
          <w:kern w:val="0"/>
          <w:sz w:val="28"/>
          <w:szCs w:val="32"/>
        </w:rPr>
        <w:t>备注：2025年本单位无国有资本经营预算支出，此表为空表。</w:t>
      </w:r>
    </w:p>
    <w:p>
      <w:pPr>
        <w:widowControl/>
        <w:jc w:val="left"/>
        <w:textAlignment w:val="bottom"/>
        <w:rPr>
          <w:rFonts w:hint="eastAsia" w:ascii="宋体" w:hAnsi="宋体" w:cs="宋体"/>
          <w:kern w:val="0"/>
          <w:sz w:val="20"/>
          <w:szCs w:val="20"/>
        </w:rPr>
      </w:pPr>
    </w:p>
    <w:p>
      <w:pPr>
        <w:pStyle w:val="2"/>
        <w:rPr>
          <w:rFonts w:hint="eastAsia" w:ascii="宋体" w:hAnsi="宋体" w:cs="宋体"/>
          <w:kern w:val="0"/>
          <w:sz w:val="20"/>
          <w:szCs w:val="20"/>
        </w:rPr>
      </w:pPr>
    </w:p>
    <w:p>
      <w:pPr>
        <w:widowControl/>
        <w:jc w:val="left"/>
        <w:textAlignment w:val="bottom"/>
        <w:rPr>
          <w:rFonts w:ascii="宋体" w:hAnsi="宋体" w:cs="宋体"/>
          <w:kern w:val="0"/>
          <w:sz w:val="20"/>
          <w:szCs w:val="20"/>
        </w:rPr>
      </w:pPr>
    </w:p>
    <w:p>
      <w:pPr>
        <w:pStyle w:val="2"/>
        <w:rPr>
          <w:rFonts w:ascii="宋体" w:hAnsi="宋体" w:cs="宋体"/>
          <w:kern w:val="0"/>
          <w:sz w:val="20"/>
          <w:szCs w:val="20"/>
        </w:rPr>
      </w:pPr>
    </w:p>
    <w:p>
      <w:pPr>
        <w:pStyle w:val="2"/>
        <w:rPr>
          <w:rFonts w:ascii="宋体" w:hAnsi="宋体" w:cs="宋体"/>
          <w:kern w:val="0"/>
          <w:sz w:val="20"/>
          <w:szCs w:val="20"/>
        </w:rPr>
      </w:pPr>
    </w:p>
    <w:p>
      <w:pPr>
        <w:widowControl/>
        <w:jc w:val="left"/>
        <w:textAlignment w:val="bottom"/>
        <w:rPr>
          <w:rFonts w:ascii="宋体" w:hAnsi="宋体" w:cs="宋体"/>
          <w:kern w:val="0"/>
          <w:sz w:val="20"/>
          <w:szCs w:val="20"/>
        </w:rPr>
      </w:pPr>
    </w:p>
    <w:p>
      <w:pPr>
        <w:widowControl/>
        <w:jc w:val="left"/>
        <w:textAlignment w:val="bottom"/>
        <w:rPr>
          <w:rFonts w:hint="eastAsia" w:ascii="宋体" w:hAnsi="宋体" w:cs="宋体"/>
          <w:kern w:val="0"/>
          <w:sz w:val="20"/>
          <w:szCs w:val="20"/>
        </w:rPr>
      </w:pPr>
      <w:r>
        <w:rPr>
          <w:rFonts w:hint="eastAsia" w:ascii="宋体" w:hAnsi="宋体" w:cs="宋体"/>
          <w:kern w:val="0"/>
          <w:sz w:val="20"/>
          <w:szCs w:val="20"/>
        </w:rPr>
        <w:t>表</w:t>
      </w:r>
      <w:r>
        <w:rPr>
          <w:rFonts w:ascii="宋体" w:hAnsi="宋体" w:cs="宋体"/>
          <w:kern w:val="0"/>
          <w:sz w:val="20"/>
          <w:szCs w:val="20"/>
        </w:rPr>
        <w:t>10</w:t>
      </w:r>
    </w:p>
    <w:p>
      <w:pPr>
        <w:widowControl/>
        <w:jc w:val="center"/>
        <w:rPr>
          <w:rFonts w:hint="eastAsia" w:ascii="仿宋_GB2312" w:hAnsi="宋体" w:eastAsia="仿宋_GB2312"/>
          <w:b/>
          <w:kern w:val="0"/>
          <w:sz w:val="32"/>
          <w:szCs w:val="32"/>
        </w:rPr>
      </w:pPr>
      <w:r>
        <w:rPr>
          <w:rFonts w:hint="eastAsia" w:ascii="仿宋_GB2312" w:hAnsi="宋体" w:eastAsia="仿宋_GB2312"/>
          <w:b/>
          <w:kern w:val="0"/>
          <w:sz w:val="32"/>
          <w:szCs w:val="32"/>
        </w:rPr>
        <w:t>财政拨款“三公”经费支出情况表</w:t>
      </w:r>
    </w:p>
    <w:p>
      <w:pPr>
        <w:widowControl/>
        <w:jc w:val="left"/>
        <w:rPr>
          <w:rFonts w:hint="eastAsia" w:ascii="仿宋_GB2312" w:hAnsi="宋体" w:eastAsia="仿宋_GB2312"/>
          <w:kern w:val="0"/>
          <w:sz w:val="24"/>
        </w:rPr>
      </w:pPr>
      <w:r>
        <w:rPr>
          <w:rFonts w:hint="eastAsia" w:ascii="仿宋_GB2312" w:hAnsi="宋体" w:eastAsia="仿宋_GB2312"/>
          <w:kern w:val="0"/>
          <w:sz w:val="24"/>
        </w:rPr>
        <w:t>编制单位：中国共产党焉耆回族自治县委员会社会工作部          单位：万元</w:t>
      </w:r>
    </w:p>
    <w:tbl>
      <w:tblPr>
        <w:tblStyle w:val="12"/>
        <w:tblW w:w="9025" w:type="dxa"/>
        <w:tblInd w:w="-503"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3579"/>
        <w:gridCol w:w="1166"/>
        <w:gridCol w:w="1343"/>
        <w:gridCol w:w="1413"/>
        <w:gridCol w:w="1524"/>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3579" w:type="dxa"/>
            <w:vMerge w:val="restart"/>
            <w:tcBorders>
              <w:top w:val="single" w:color="auto" w:sz="4" w:space="0"/>
              <w:left w:val="single" w:color="auto" w:sz="4" w:space="0"/>
              <w:bottom w:val="single" w:color="auto" w:sz="4" w:space="0"/>
              <w:right w:val="single" w:color="auto" w:sz="4" w:space="0"/>
            </w:tcBorders>
            <w:vAlign w:val="center"/>
          </w:tcPr>
          <w:p>
            <w:pPr>
              <w:widowControl/>
              <w:outlineLvl w:val="1"/>
              <w:rPr>
                <w:rFonts w:hint="eastAsia" w:ascii="仿宋_GB2312" w:hAnsi="宋体" w:eastAsia="仿宋_GB2312" w:cs="Times New Roman"/>
                <w:b/>
                <w:color w:val="auto"/>
                <w:kern w:val="0"/>
                <w:sz w:val="28"/>
                <w:szCs w:val="32"/>
                <w:highlight w:val="none"/>
                <w:vertAlign w:val="baseline"/>
              </w:rPr>
            </w:pPr>
            <w:r>
              <w:rPr>
                <w:rFonts w:hint="eastAsia" w:ascii="仿宋_GB2312" w:hAnsi="宋体" w:eastAsia="仿宋_GB2312" w:cs="Times New Roman"/>
                <w:b/>
                <w:color w:val="auto"/>
                <w:kern w:val="0"/>
                <w:sz w:val="28"/>
                <w:szCs w:val="32"/>
                <w:highlight w:val="none"/>
                <w:vertAlign w:val="baseline"/>
              </w:rPr>
              <w:t>“三公”经费支出内容</w:t>
            </w:r>
          </w:p>
        </w:tc>
        <w:tc>
          <w:tcPr>
            <w:tcW w:w="1166" w:type="dxa"/>
            <w:vMerge w:val="restart"/>
            <w:tcBorders>
              <w:top w:val="single" w:color="auto" w:sz="4" w:space="0"/>
              <w:left w:val="single" w:color="auto" w:sz="4" w:space="0"/>
              <w:bottom w:val="single" w:color="auto" w:sz="4" w:space="0"/>
              <w:right w:val="single" w:color="auto" w:sz="4" w:space="0"/>
            </w:tcBorders>
            <w:vAlign w:val="center"/>
          </w:tcPr>
          <w:p>
            <w:pPr>
              <w:widowControl/>
              <w:outlineLvl w:val="1"/>
              <w:rPr>
                <w:rFonts w:hint="eastAsia" w:ascii="仿宋_GB2312" w:hAnsi="宋体" w:eastAsia="仿宋_GB2312" w:cs="Times New Roman"/>
                <w:b/>
                <w:color w:val="auto"/>
                <w:kern w:val="0"/>
                <w:sz w:val="28"/>
                <w:szCs w:val="32"/>
                <w:highlight w:val="none"/>
                <w:vertAlign w:val="baseline"/>
              </w:rPr>
            </w:pPr>
            <w:r>
              <w:rPr>
                <w:rFonts w:hint="eastAsia" w:ascii="仿宋_GB2312" w:hAnsi="宋体" w:eastAsia="仿宋_GB2312" w:cs="Times New Roman"/>
                <w:b/>
                <w:color w:val="auto"/>
                <w:kern w:val="0"/>
                <w:sz w:val="28"/>
                <w:szCs w:val="32"/>
                <w:highlight w:val="none"/>
                <w:vertAlign w:val="baseline"/>
              </w:rPr>
              <w:t>合计</w:t>
            </w:r>
          </w:p>
        </w:tc>
        <w:tc>
          <w:tcPr>
            <w:tcW w:w="4280" w:type="dxa"/>
            <w:gridSpan w:val="3"/>
            <w:tcBorders>
              <w:top w:val="single" w:color="auto" w:sz="4" w:space="0"/>
              <w:left w:val="single" w:color="auto" w:sz="4" w:space="0"/>
              <w:bottom w:val="single" w:color="auto" w:sz="4" w:space="0"/>
              <w:right w:val="single" w:color="auto" w:sz="4" w:space="0"/>
            </w:tcBorders>
            <w:vAlign w:val="center"/>
          </w:tcPr>
          <w:p>
            <w:pPr>
              <w:widowControl/>
              <w:outlineLvl w:val="1"/>
              <w:rPr>
                <w:rFonts w:hint="eastAsia" w:ascii="仿宋_GB2312" w:hAnsi="宋体" w:eastAsia="仿宋_GB2312" w:cs="Times New Roman"/>
                <w:b/>
                <w:color w:val="auto"/>
                <w:kern w:val="0"/>
                <w:sz w:val="28"/>
                <w:szCs w:val="32"/>
                <w:highlight w:val="none"/>
                <w:vertAlign w:val="baseline"/>
              </w:rPr>
            </w:pPr>
            <w:r>
              <w:rPr>
                <w:rFonts w:hint="eastAsia" w:ascii="仿宋_GB2312" w:hAnsi="宋体" w:eastAsia="仿宋_GB2312" w:cs="Times New Roman"/>
                <w:b/>
                <w:color w:val="auto"/>
                <w:kern w:val="0"/>
                <w:sz w:val="28"/>
                <w:szCs w:val="32"/>
                <w:highlight w:val="none"/>
                <w:vertAlign w:val="baseline"/>
              </w:rPr>
              <w:t>资金来源</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3579" w:type="dxa"/>
            <w:vMerge w:val="continue"/>
            <w:tcBorders>
              <w:top w:val="single" w:color="auto" w:sz="4" w:space="0"/>
              <w:left w:val="single" w:color="auto" w:sz="4" w:space="0"/>
              <w:bottom w:val="single" w:color="auto" w:sz="4" w:space="0"/>
              <w:right w:val="single" w:color="auto" w:sz="4" w:space="0"/>
            </w:tcBorders>
          </w:tcPr>
          <w:p>
            <w:pPr>
              <w:widowControl/>
              <w:outlineLvl w:val="1"/>
              <w:rPr>
                <w:rFonts w:hint="eastAsia" w:ascii="仿宋_GB2312" w:hAnsi="宋体" w:eastAsia="仿宋_GB2312" w:cs="Times New Roman"/>
                <w:b/>
                <w:color w:val="auto"/>
                <w:kern w:val="0"/>
                <w:sz w:val="28"/>
                <w:szCs w:val="32"/>
                <w:highlight w:val="none"/>
                <w:vertAlign w:val="baseline"/>
              </w:rPr>
            </w:pPr>
          </w:p>
        </w:tc>
        <w:tc>
          <w:tcPr>
            <w:tcW w:w="1166" w:type="dxa"/>
            <w:vMerge w:val="continue"/>
            <w:tcBorders>
              <w:top w:val="single" w:color="auto" w:sz="4" w:space="0"/>
              <w:left w:val="single" w:color="auto" w:sz="4" w:space="0"/>
              <w:bottom w:val="single" w:color="auto" w:sz="4" w:space="0"/>
              <w:right w:val="single" w:color="auto" w:sz="4" w:space="0"/>
            </w:tcBorders>
          </w:tcPr>
          <w:p>
            <w:pPr>
              <w:widowControl/>
              <w:outlineLvl w:val="1"/>
              <w:rPr>
                <w:rFonts w:hint="eastAsia" w:ascii="仿宋_GB2312" w:hAnsi="宋体" w:eastAsia="仿宋_GB2312" w:cs="Times New Roman"/>
                <w:b/>
                <w:color w:val="auto"/>
                <w:kern w:val="0"/>
                <w:sz w:val="28"/>
                <w:szCs w:val="32"/>
                <w:highlight w:val="none"/>
                <w:vertAlign w:val="baseline"/>
              </w:rPr>
            </w:pPr>
          </w:p>
        </w:tc>
        <w:tc>
          <w:tcPr>
            <w:tcW w:w="1343" w:type="dxa"/>
            <w:tcBorders>
              <w:top w:val="single" w:color="auto" w:sz="4" w:space="0"/>
              <w:left w:val="single" w:color="auto" w:sz="4" w:space="0"/>
              <w:bottom w:val="single" w:color="auto" w:sz="4" w:space="0"/>
              <w:right w:val="single" w:color="auto" w:sz="4" w:space="0"/>
            </w:tcBorders>
            <w:vAlign w:val="center"/>
          </w:tcPr>
          <w:p>
            <w:pPr>
              <w:widowControl/>
              <w:jc w:val="center"/>
              <w:outlineLvl w:val="1"/>
              <w:rPr>
                <w:rFonts w:hint="eastAsia" w:ascii="仿宋_GB2312" w:hAnsi="宋体" w:eastAsia="仿宋_GB2312" w:cs="Times New Roman"/>
                <w:b/>
                <w:color w:val="auto"/>
                <w:kern w:val="0"/>
                <w:sz w:val="28"/>
                <w:szCs w:val="32"/>
                <w:highlight w:val="none"/>
                <w:vertAlign w:val="baseline"/>
                <w:lang w:val="en-US" w:eastAsia="zh-Hans"/>
              </w:rPr>
            </w:pPr>
            <w:r>
              <w:rPr>
                <w:rFonts w:hint="eastAsia" w:ascii="仿宋_GB2312" w:hAnsi="宋体" w:eastAsia="仿宋_GB2312" w:cs="Times New Roman"/>
                <w:b/>
                <w:color w:val="auto"/>
                <w:kern w:val="0"/>
                <w:sz w:val="28"/>
                <w:szCs w:val="32"/>
                <w:highlight w:val="none"/>
                <w:vertAlign w:val="baseline"/>
                <w:lang w:val="en-US" w:eastAsia="zh-Hans"/>
              </w:rPr>
              <w:t>一般公共预算</w:t>
            </w:r>
          </w:p>
        </w:tc>
        <w:tc>
          <w:tcPr>
            <w:tcW w:w="1413" w:type="dxa"/>
            <w:tcBorders>
              <w:top w:val="single" w:color="auto" w:sz="4" w:space="0"/>
              <w:left w:val="single" w:color="auto" w:sz="4" w:space="0"/>
              <w:bottom w:val="single" w:color="auto" w:sz="4" w:space="0"/>
              <w:right w:val="single" w:color="auto" w:sz="4" w:space="0"/>
            </w:tcBorders>
            <w:vAlign w:val="center"/>
          </w:tcPr>
          <w:p>
            <w:pPr>
              <w:widowControl/>
              <w:jc w:val="center"/>
              <w:outlineLvl w:val="1"/>
              <w:rPr>
                <w:rFonts w:hint="eastAsia" w:ascii="仿宋_GB2312" w:hAnsi="宋体" w:eastAsia="仿宋_GB2312" w:cs="Times New Roman"/>
                <w:b/>
                <w:color w:val="auto"/>
                <w:kern w:val="0"/>
                <w:sz w:val="28"/>
                <w:szCs w:val="32"/>
                <w:highlight w:val="none"/>
                <w:vertAlign w:val="baseline"/>
                <w:lang w:val="en-US" w:eastAsia="zh-Hans"/>
              </w:rPr>
            </w:pPr>
            <w:r>
              <w:rPr>
                <w:rFonts w:hint="eastAsia" w:ascii="仿宋_GB2312" w:hAnsi="宋体" w:eastAsia="仿宋_GB2312" w:cs="Times New Roman"/>
                <w:b/>
                <w:color w:val="auto"/>
                <w:kern w:val="0"/>
                <w:sz w:val="28"/>
                <w:szCs w:val="32"/>
                <w:highlight w:val="none"/>
                <w:vertAlign w:val="baseline"/>
                <w:lang w:val="en-US" w:eastAsia="zh-Hans"/>
              </w:rPr>
              <w:t>政府性基金</w:t>
            </w:r>
          </w:p>
        </w:tc>
        <w:tc>
          <w:tcPr>
            <w:tcW w:w="1524" w:type="dxa"/>
            <w:tcBorders>
              <w:top w:val="single" w:color="auto" w:sz="4" w:space="0"/>
              <w:left w:val="single" w:color="auto" w:sz="4" w:space="0"/>
              <w:bottom w:val="single" w:color="auto" w:sz="4" w:space="0"/>
              <w:right w:val="single" w:color="auto" w:sz="4" w:space="0"/>
            </w:tcBorders>
            <w:vAlign w:val="center"/>
          </w:tcPr>
          <w:p>
            <w:pPr>
              <w:widowControl/>
              <w:jc w:val="center"/>
              <w:outlineLvl w:val="1"/>
              <w:rPr>
                <w:rFonts w:hint="eastAsia" w:ascii="仿宋_GB2312" w:hAnsi="宋体" w:eastAsia="仿宋_GB2312" w:cs="Times New Roman"/>
                <w:b/>
                <w:color w:val="auto"/>
                <w:kern w:val="0"/>
                <w:sz w:val="28"/>
                <w:szCs w:val="32"/>
                <w:highlight w:val="none"/>
                <w:vertAlign w:val="baseline"/>
                <w:lang w:val="en-US" w:eastAsia="zh-Hans"/>
              </w:rPr>
            </w:pPr>
            <w:r>
              <w:rPr>
                <w:rFonts w:hint="eastAsia" w:ascii="仿宋_GB2312" w:hAnsi="宋体" w:eastAsia="仿宋_GB2312" w:cs="Times New Roman"/>
                <w:b/>
                <w:color w:val="auto"/>
                <w:kern w:val="0"/>
                <w:sz w:val="28"/>
                <w:szCs w:val="32"/>
                <w:highlight w:val="none"/>
                <w:vertAlign w:val="baseline"/>
                <w:lang w:val="en-US" w:eastAsia="zh-Hans"/>
              </w:rPr>
              <w:t>国有资本经营预算</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vAlign w:val="center"/>
          </w:tcPr>
          <w:p>
            <w:pPr>
              <w:widowControl/>
              <w:outlineLvl w:val="1"/>
              <w:rPr>
                <w:rFonts w:hint="eastAsia" w:ascii="仿宋_GB2312" w:hAnsi="宋体" w:eastAsia="仿宋_GB2312" w:cs="Times New Roman"/>
                <w:b/>
                <w:color w:val="auto"/>
                <w:kern w:val="0"/>
                <w:sz w:val="28"/>
                <w:szCs w:val="32"/>
                <w:highlight w:val="none"/>
                <w:vertAlign w:val="baseline"/>
              </w:rPr>
            </w:pPr>
            <w:r>
              <w:rPr>
                <w:rFonts w:hint="eastAsia" w:ascii="仿宋_GB2312" w:hAnsi="宋体" w:eastAsia="仿宋_GB2312" w:cs="Times New Roman"/>
                <w:b/>
                <w:color w:val="auto"/>
                <w:kern w:val="0"/>
                <w:sz w:val="28"/>
                <w:szCs w:val="32"/>
                <w:highlight w:val="none"/>
                <w:vertAlign w:val="baseline"/>
              </w:rPr>
              <w:t>合计</w:t>
            </w:r>
          </w:p>
        </w:tc>
        <w:tc>
          <w:tcPr>
            <w:tcW w:w="1166" w:type="dxa"/>
            <w:tcBorders>
              <w:top w:val="single" w:color="auto" w:sz="4" w:space="0"/>
              <w:left w:val="single" w:color="auto" w:sz="4" w:space="0"/>
              <w:bottom w:val="single" w:color="auto" w:sz="4" w:space="0"/>
              <w:right w:val="single" w:color="auto" w:sz="4" w:space="0"/>
            </w:tcBorders>
          </w:tcPr>
          <w:p>
            <w:pPr>
              <w:widowControl/>
              <w:jc w:val="center"/>
              <w:outlineLvl w:val="1"/>
              <w:rPr>
                <w:rFonts w:hint="eastAsia" w:ascii="仿宋_GB2312" w:hAnsi="宋体" w:eastAsia="仿宋_GB2312" w:cs="Times New Roman"/>
                <w:b/>
                <w:color w:val="auto"/>
                <w:kern w:val="0"/>
                <w:sz w:val="28"/>
                <w:szCs w:val="32"/>
                <w:highlight w:val="none"/>
                <w:vertAlign w:val="baseline"/>
              </w:rPr>
            </w:pPr>
            <w:r>
              <w:rPr>
                <w:rFonts w:hint="eastAsia" w:ascii="仿宋_GB2312" w:hAnsi="宋体" w:eastAsia="仿宋_GB2312" w:cs="Times New Roman"/>
                <w:b/>
                <w:color w:val="auto"/>
                <w:kern w:val="0"/>
                <w:sz w:val="28"/>
                <w:szCs w:val="32"/>
                <w:highlight w:val="none"/>
                <w:vertAlign w:val="baseline"/>
              </w:rPr>
              <w:t>1.20</w:t>
            </w:r>
          </w:p>
        </w:tc>
        <w:tc>
          <w:tcPr>
            <w:tcW w:w="1343" w:type="dxa"/>
            <w:tcBorders>
              <w:top w:val="single" w:color="auto" w:sz="4" w:space="0"/>
              <w:left w:val="single" w:color="auto" w:sz="4" w:space="0"/>
              <w:bottom w:val="single" w:color="auto" w:sz="4" w:space="0"/>
              <w:right w:val="single" w:color="auto" w:sz="4" w:space="0"/>
            </w:tcBorders>
          </w:tcPr>
          <w:p>
            <w:pPr>
              <w:widowControl/>
              <w:jc w:val="center"/>
              <w:outlineLvl w:val="1"/>
              <w:rPr>
                <w:rFonts w:hint="eastAsia" w:ascii="仿宋_GB2312" w:hAnsi="宋体" w:eastAsia="仿宋_GB2312" w:cs="Times New Roman"/>
                <w:b/>
                <w:color w:val="auto"/>
                <w:kern w:val="0"/>
                <w:sz w:val="28"/>
                <w:szCs w:val="32"/>
                <w:highlight w:val="none"/>
                <w:vertAlign w:val="baseline"/>
              </w:rPr>
            </w:pPr>
            <w:r>
              <w:rPr>
                <w:rFonts w:hint="eastAsia" w:ascii="仿宋_GB2312" w:hAnsi="宋体" w:eastAsia="仿宋_GB2312" w:cs="Times New Roman"/>
                <w:b/>
                <w:color w:val="auto"/>
                <w:kern w:val="0"/>
                <w:sz w:val="28"/>
                <w:szCs w:val="32"/>
                <w:highlight w:val="none"/>
                <w:vertAlign w:val="baseline"/>
              </w:rPr>
              <w:t>1.20</w:t>
            </w:r>
          </w:p>
        </w:tc>
        <w:tc>
          <w:tcPr>
            <w:tcW w:w="1413" w:type="dxa"/>
            <w:tcBorders>
              <w:top w:val="single" w:color="auto" w:sz="4" w:space="0"/>
              <w:left w:val="single" w:color="auto" w:sz="4" w:space="0"/>
              <w:bottom w:val="single" w:color="auto" w:sz="4" w:space="0"/>
              <w:right w:val="single" w:color="auto" w:sz="4" w:space="0"/>
            </w:tcBorders>
          </w:tcPr>
          <w:p>
            <w:pPr>
              <w:widowControl/>
              <w:outlineLvl w:val="1"/>
              <w:rPr>
                <w:rFonts w:hint="eastAsia" w:ascii="仿宋_GB2312" w:hAnsi="宋体" w:eastAsia="仿宋_GB2312" w:cs="Times New Roman"/>
                <w:b/>
                <w:color w:val="auto"/>
                <w:kern w:val="0"/>
                <w:sz w:val="28"/>
                <w:szCs w:val="32"/>
                <w:highlight w:val="none"/>
                <w:vertAlign w:val="baseline"/>
              </w:rPr>
            </w:pPr>
          </w:p>
        </w:tc>
        <w:tc>
          <w:tcPr>
            <w:tcW w:w="1524" w:type="dxa"/>
            <w:tcBorders>
              <w:top w:val="single" w:color="auto" w:sz="4" w:space="0"/>
              <w:left w:val="single" w:color="auto" w:sz="4" w:space="0"/>
              <w:bottom w:val="single" w:color="auto" w:sz="4" w:space="0"/>
              <w:right w:val="single" w:color="auto" w:sz="4" w:space="0"/>
            </w:tcBorders>
          </w:tcPr>
          <w:p>
            <w:pPr>
              <w:widowControl/>
              <w:outlineLvl w:val="1"/>
              <w:rPr>
                <w:rFonts w:hint="eastAsia" w:ascii="仿宋_GB2312" w:hAnsi="宋体"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vAlign w:val="center"/>
          </w:tcPr>
          <w:p>
            <w:pPr>
              <w:widowControl/>
              <w:outlineLvl w:val="1"/>
              <w:rPr>
                <w:rFonts w:hint="eastAsia" w:ascii="仿宋_GB2312" w:hAnsi="宋体" w:eastAsia="仿宋_GB2312" w:cs="Times New Roman"/>
                <w:b/>
                <w:color w:val="auto"/>
                <w:kern w:val="0"/>
                <w:sz w:val="28"/>
                <w:szCs w:val="32"/>
                <w:highlight w:val="none"/>
                <w:vertAlign w:val="baseline"/>
              </w:rPr>
            </w:pPr>
            <w:r>
              <w:rPr>
                <w:rFonts w:hint="eastAsia" w:ascii="仿宋_GB2312" w:hAnsi="宋体" w:eastAsia="仿宋_GB2312" w:cs="Times New Roman"/>
                <w:b/>
                <w:color w:val="auto"/>
                <w:kern w:val="0"/>
                <w:sz w:val="28"/>
                <w:szCs w:val="32"/>
                <w:highlight w:val="none"/>
                <w:vertAlign w:val="baseline"/>
              </w:rPr>
              <w:t>因公出国（境）费</w:t>
            </w:r>
          </w:p>
        </w:tc>
        <w:tc>
          <w:tcPr>
            <w:tcW w:w="1166" w:type="dxa"/>
            <w:tcBorders>
              <w:top w:val="single" w:color="auto" w:sz="4" w:space="0"/>
              <w:left w:val="single" w:color="auto" w:sz="4" w:space="0"/>
              <w:bottom w:val="single" w:color="auto" w:sz="4" w:space="0"/>
              <w:right w:val="single" w:color="auto" w:sz="4" w:space="0"/>
            </w:tcBorders>
          </w:tcPr>
          <w:p>
            <w:pPr>
              <w:widowControl/>
              <w:jc w:val="center"/>
              <w:outlineLvl w:val="1"/>
              <w:rPr>
                <w:rFonts w:hint="eastAsia" w:ascii="仿宋_GB2312" w:hAnsi="宋体" w:eastAsia="仿宋_GB2312" w:cs="Times New Roman"/>
                <w:b/>
                <w:color w:val="auto"/>
                <w:kern w:val="0"/>
                <w:sz w:val="28"/>
                <w:szCs w:val="32"/>
                <w:highlight w:val="none"/>
                <w:vertAlign w:val="baseline"/>
              </w:rPr>
            </w:pPr>
          </w:p>
        </w:tc>
        <w:tc>
          <w:tcPr>
            <w:tcW w:w="1343" w:type="dxa"/>
            <w:tcBorders>
              <w:top w:val="single" w:color="auto" w:sz="4" w:space="0"/>
              <w:left w:val="single" w:color="auto" w:sz="4" w:space="0"/>
              <w:bottom w:val="single" w:color="auto" w:sz="4" w:space="0"/>
              <w:right w:val="single" w:color="auto" w:sz="4" w:space="0"/>
            </w:tcBorders>
          </w:tcPr>
          <w:p>
            <w:pPr>
              <w:widowControl/>
              <w:jc w:val="center"/>
              <w:outlineLvl w:val="1"/>
              <w:rPr>
                <w:rFonts w:hint="eastAsia" w:ascii="仿宋_GB2312" w:hAnsi="宋体" w:eastAsia="仿宋_GB2312" w:cs="Times New Roman"/>
                <w:b/>
                <w:color w:val="auto"/>
                <w:kern w:val="0"/>
                <w:sz w:val="28"/>
                <w:szCs w:val="32"/>
                <w:highlight w:val="none"/>
                <w:vertAlign w:val="baseline"/>
              </w:rPr>
            </w:pPr>
          </w:p>
        </w:tc>
        <w:tc>
          <w:tcPr>
            <w:tcW w:w="1413" w:type="dxa"/>
            <w:tcBorders>
              <w:top w:val="single" w:color="auto" w:sz="4" w:space="0"/>
              <w:left w:val="single" w:color="auto" w:sz="4" w:space="0"/>
              <w:bottom w:val="single" w:color="auto" w:sz="4" w:space="0"/>
              <w:right w:val="single" w:color="auto" w:sz="4" w:space="0"/>
            </w:tcBorders>
          </w:tcPr>
          <w:p>
            <w:pPr>
              <w:widowControl/>
              <w:outlineLvl w:val="1"/>
              <w:rPr>
                <w:rFonts w:hint="eastAsia" w:ascii="仿宋_GB2312" w:hAnsi="宋体" w:eastAsia="仿宋_GB2312" w:cs="Times New Roman"/>
                <w:b/>
                <w:color w:val="auto"/>
                <w:kern w:val="0"/>
                <w:sz w:val="28"/>
                <w:szCs w:val="32"/>
                <w:highlight w:val="none"/>
                <w:vertAlign w:val="baseline"/>
              </w:rPr>
            </w:pPr>
          </w:p>
        </w:tc>
        <w:tc>
          <w:tcPr>
            <w:tcW w:w="1524" w:type="dxa"/>
            <w:tcBorders>
              <w:top w:val="single" w:color="auto" w:sz="4" w:space="0"/>
              <w:left w:val="single" w:color="auto" w:sz="4" w:space="0"/>
              <w:bottom w:val="single" w:color="auto" w:sz="4" w:space="0"/>
              <w:right w:val="single" w:color="auto" w:sz="4" w:space="0"/>
            </w:tcBorders>
          </w:tcPr>
          <w:p>
            <w:pPr>
              <w:widowControl/>
              <w:outlineLvl w:val="1"/>
              <w:rPr>
                <w:rFonts w:hint="eastAsia" w:ascii="仿宋_GB2312" w:hAnsi="宋体"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vAlign w:val="center"/>
          </w:tcPr>
          <w:p>
            <w:pPr>
              <w:widowControl/>
              <w:outlineLvl w:val="1"/>
              <w:rPr>
                <w:rFonts w:hint="eastAsia" w:ascii="仿宋_GB2312" w:hAnsi="宋体" w:eastAsia="仿宋_GB2312" w:cs="Times New Roman"/>
                <w:b/>
                <w:color w:val="auto"/>
                <w:kern w:val="0"/>
                <w:sz w:val="28"/>
                <w:szCs w:val="32"/>
                <w:highlight w:val="none"/>
                <w:vertAlign w:val="baseline"/>
              </w:rPr>
            </w:pPr>
            <w:r>
              <w:rPr>
                <w:rFonts w:hint="eastAsia" w:ascii="仿宋_GB2312" w:hAnsi="宋体" w:eastAsia="仿宋_GB2312" w:cs="Times New Roman"/>
                <w:b/>
                <w:color w:val="auto"/>
                <w:kern w:val="0"/>
                <w:sz w:val="28"/>
                <w:szCs w:val="32"/>
                <w:highlight w:val="none"/>
                <w:vertAlign w:val="baseline"/>
              </w:rPr>
              <w:t>公务接待费</w:t>
            </w:r>
          </w:p>
        </w:tc>
        <w:tc>
          <w:tcPr>
            <w:tcW w:w="1166" w:type="dxa"/>
            <w:tcBorders>
              <w:top w:val="single" w:color="auto" w:sz="4" w:space="0"/>
              <w:left w:val="single" w:color="auto" w:sz="4" w:space="0"/>
              <w:bottom w:val="single" w:color="auto" w:sz="4" w:space="0"/>
              <w:right w:val="single" w:color="auto" w:sz="4" w:space="0"/>
            </w:tcBorders>
          </w:tcPr>
          <w:p>
            <w:pPr>
              <w:widowControl/>
              <w:jc w:val="center"/>
              <w:outlineLvl w:val="1"/>
              <w:rPr>
                <w:rFonts w:hint="eastAsia" w:ascii="仿宋_GB2312" w:hAnsi="宋体" w:eastAsia="仿宋_GB2312" w:cs="Times New Roman"/>
                <w:b/>
                <w:color w:val="auto"/>
                <w:kern w:val="0"/>
                <w:sz w:val="28"/>
                <w:szCs w:val="32"/>
                <w:highlight w:val="none"/>
                <w:vertAlign w:val="baseline"/>
              </w:rPr>
            </w:pPr>
          </w:p>
        </w:tc>
        <w:tc>
          <w:tcPr>
            <w:tcW w:w="1343" w:type="dxa"/>
            <w:tcBorders>
              <w:top w:val="single" w:color="auto" w:sz="4" w:space="0"/>
              <w:left w:val="single" w:color="auto" w:sz="4" w:space="0"/>
              <w:bottom w:val="single" w:color="auto" w:sz="4" w:space="0"/>
              <w:right w:val="single" w:color="auto" w:sz="4" w:space="0"/>
            </w:tcBorders>
          </w:tcPr>
          <w:p>
            <w:pPr>
              <w:widowControl/>
              <w:jc w:val="center"/>
              <w:outlineLvl w:val="1"/>
              <w:rPr>
                <w:rFonts w:hint="eastAsia" w:ascii="仿宋_GB2312" w:hAnsi="宋体" w:eastAsia="仿宋_GB2312" w:cs="Times New Roman"/>
                <w:b/>
                <w:color w:val="auto"/>
                <w:kern w:val="0"/>
                <w:sz w:val="28"/>
                <w:szCs w:val="32"/>
                <w:highlight w:val="none"/>
                <w:vertAlign w:val="baseline"/>
              </w:rPr>
            </w:pPr>
          </w:p>
        </w:tc>
        <w:tc>
          <w:tcPr>
            <w:tcW w:w="1413" w:type="dxa"/>
            <w:tcBorders>
              <w:top w:val="single" w:color="auto" w:sz="4" w:space="0"/>
              <w:left w:val="single" w:color="auto" w:sz="4" w:space="0"/>
              <w:bottom w:val="single" w:color="auto" w:sz="4" w:space="0"/>
              <w:right w:val="single" w:color="auto" w:sz="4" w:space="0"/>
            </w:tcBorders>
          </w:tcPr>
          <w:p>
            <w:pPr>
              <w:widowControl/>
              <w:outlineLvl w:val="1"/>
              <w:rPr>
                <w:rFonts w:hint="eastAsia" w:ascii="仿宋_GB2312" w:hAnsi="宋体" w:eastAsia="仿宋_GB2312" w:cs="Times New Roman"/>
                <w:b/>
                <w:color w:val="auto"/>
                <w:kern w:val="0"/>
                <w:sz w:val="28"/>
                <w:szCs w:val="32"/>
                <w:highlight w:val="none"/>
                <w:vertAlign w:val="baseline"/>
              </w:rPr>
            </w:pPr>
          </w:p>
        </w:tc>
        <w:tc>
          <w:tcPr>
            <w:tcW w:w="1524" w:type="dxa"/>
            <w:tcBorders>
              <w:top w:val="single" w:color="auto" w:sz="4" w:space="0"/>
              <w:left w:val="single" w:color="auto" w:sz="4" w:space="0"/>
              <w:bottom w:val="single" w:color="auto" w:sz="4" w:space="0"/>
              <w:right w:val="single" w:color="auto" w:sz="4" w:space="0"/>
            </w:tcBorders>
          </w:tcPr>
          <w:p>
            <w:pPr>
              <w:widowControl/>
              <w:outlineLvl w:val="1"/>
              <w:rPr>
                <w:rFonts w:hint="eastAsia" w:ascii="仿宋_GB2312" w:hAnsi="宋体"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vAlign w:val="center"/>
          </w:tcPr>
          <w:p>
            <w:pPr>
              <w:widowControl/>
              <w:outlineLvl w:val="1"/>
              <w:rPr>
                <w:rFonts w:hint="eastAsia" w:ascii="仿宋_GB2312" w:hAnsi="宋体" w:eastAsia="仿宋_GB2312" w:cs="Times New Roman"/>
                <w:b/>
                <w:color w:val="auto"/>
                <w:kern w:val="0"/>
                <w:sz w:val="28"/>
                <w:szCs w:val="32"/>
                <w:highlight w:val="none"/>
                <w:vertAlign w:val="baseline"/>
              </w:rPr>
            </w:pPr>
            <w:r>
              <w:rPr>
                <w:rFonts w:hint="eastAsia" w:ascii="仿宋_GB2312" w:hAnsi="宋体" w:eastAsia="仿宋_GB2312" w:cs="Times New Roman"/>
                <w:b/>
                <w:color w:val="auto"/>
                <w:kern w:val="0"/>
                <w:sz w:val="28"/>
                <w:szCs w:val="32"/>
                <w:highlight w:val="none"/>
                <w:vertAlign w:val="baseline"/>
              </w:rPr>
              <w:t>公务用车购置及运行费</w:t>
            </w:r>
          </w:p>
          <w:p>
            <w:pPr>
              <w:widowControl/>
              <w:outlineLvl w:val="1"/>
              <w:rPr>
                <w:rFonts w:hint="eastAsia" w:ascii="仿宋_GB2312" w:hAnsi="宋体" w:eastAsia="仿宋_GB2312" w:cs="Times New Roman"/>
                <w:b/>
                <w:color w:val="auto"/>
                <w:kern w:val="0"/>
                <w:sz w:val="28"/>
                <w:szCs w:val="32"/>
                <w:highlight w:val="none"/>
                <w:vertAlign w:val="baseline"/>
              </w:rPr>
            </w:pPr>
            <w:r>
              <w:rPr>
                <w:rFonts w:hint="eastAsia" w:ascii="仿宋_GB2312" w:hAnsi="宋体" w:eastAsia="仿宋_GB2312" w:cs="Times New Roman"/>
                <w:b/>
                <w:color w:val="auto"/>
                <w:kern w:val="0"/>
                <w:sz w:val="28"/>
                <w:szCs w:val="32"/>
                <w:highlight w:val="none"/>
                <w:vertAlign w:val="baseline"/>
              </w:rPr>
              <w:t>（小计）</w:t>
            </w:r>
          </w:p>
        </w:tc>
        <w:tc>
          <w:tcPr>
            <w:tcW w:w="1166" w:type="dxa"/>
            <w:tcBorders>
              <w:top w:val="single" w:color="auto" w:sz="4" w:space="0"/>
              <w:left w:val="single" w:color="auto" w:sz="4" w:space="0"/>
              <w:bottom w:val="single" w:color="auto" w:sz="4" w:space="0"/>
              <w:right w:val="single" w:color="auto" w:sz="4" w:space="0"/>
            </w:tcBorders>
          </w:tcPr>
          <w:p>
            <w:pPr>
              <w:widowControl/>
              <w:jc w:val="center"/>
              <w:outlineLvl w:val="1"/>
              <w:rPr>
                <w:rFonts w:hint="default" w:ascii="仿宋_GB2312" w:hAnsi="宋体" w:eastAsia="仿宋_GB2312" w:cs="Times New Roman"/>
                <w:b/>
                <w:color w:val="auto"/>
                <w:kern w:val="0"/>
                <w:sz w:val="28"/>
                <w:szCs w:val="32"/>
                <w:highlight w:val="none"/>
                <w:vertAlign w:val="baseline"/>
                <w:lang w:val="en-US" w:eastAsia="zh-CN"/>
              </w:rPr>
            </w:pPr>
            <w:r>
              <w:rPr>
                <w:rFonts w:hint="eastAsia" w:ascii="仿宋_GB2312" w:hAnsi="宋体" w:eastAsia="仿宋_GB2312" w:cs="Times New Roman"/>
                <w:b/>
                <w:color w:val="auto"/>
                <w:kern w:val="0"/>
                <w:sz w:val="28"/>
                <w:szCs w:val="32"/>
                <w:highlight w:val="none"/>
                <w:vertAlign w:val="baseline"/>
                <w:lang w:val="en-US" w:eastAsia="zh-CN"/>
              </w:rPr>
              <w:t>1.20</w:t>
            </w:r>
          </w:p>
        </w:tc>
        <w:tc>
          <w:tcPr>
            <w:tcW w:w="1343" w:type="dxa"/>
            <w:tcBorders>
              <w:top w:val="single" w:color="auto" w:sz="4" w:space="0"/>
              <w:left w:val="single" w:color="auto" w:sz="4" w:space="0"/>
              <w:bottom w:val="single" w:color="auto" w:sz="4" w:space="0"/>
              <w:right w:val="single" w:color="auto" w:sz="4" w:space="0"/>
            </w:tcBorders>
          </w:tcPr>
          <w:p>
            <w:pPr>
              <w:widowControl/>
              <w:jc w:val="center"/>
              <w:outlineLvl w:val="1"/>
              <w:rPr>
                <w:rFonts w:hint="default" w:ascii="仿宋_GB2312" w:hAnsi="宋体" w:eastAsia="仿宋_GB2312" w:cs="Times New Roman"/>
                <w:b/>
                <w:color w:val="auto"/>
                <w:kern w:val="0"/>
                <w:sz w:val="28"/>
                <w:szCs w:val="32"/>
                <w:highlight w:val="none"/>
                <w:vertAlign w:val="baseline"/>
                <w:lang w:val="en-US" w:eastAsia="zh-CN"/>
              </w:rPr>
            </w:pPr>
            <w:r>
              <w:rPr>
                <w:rFonts w:hint="eastAsia" w:ascii="仿宋_GB2312" w:hAnsi="宋体" w:eastAsia="仿宋_GB2312" w:cs="Times New Roman"/>
                <w:b/>
                <w:color w:val="auto"/>
                <w:kern w:val="0"/>
                <w:sz w:val="28"/>
                <w:szCs w:val="32"/>
                <w:highlight w:val="none"/>
                <w:vertAlign w:val="baseline"/>
                <w:lang w:val="en-US" w:eastAsia="zh-CN"/>
              </w:rPr>
              <w:t>1.20</w:t>
            </w:r>
          </w:p>
        </w:tc>
        <w:tc>
          <w:tcPr>
            <w:tcW w:w="1413" w:type="dxa"/>
            <w:tcBorders>
              <w:top w:val="single" w:color="auto" w:sz="4" w:space="0"/>
              <w:left w:val="single" w:color="auto" w:sz="4" w:space="0"/>
              <w:bottom w:val="single" w:color="auto" w:sz="4" w:space="0"/>
              <w:right w:val="single" w:color="auto" w:sz="4" w:space="0"/>
            </w:tcBorders>
          </w:tcPr>
          <w:p>
            <w:pPr>
              <w:widowControl/>
              <w:outlineLvl w:val="1"/>
              <w:rPr>
                <w:rFonts w:hint="eastAsia" w:ascii="仿宋_GB2312" w:hAnsi="宋体" w:eastAsia="仿宋_GB2312" w:cs="Times New Roman"/>
                <w:b/>
                <w:color w:val="auto"/>
                <w:kern w:val="0"/>
                <w:sz w:val="28"/>
                <w:szCs w:val="32"/>
                <w:highlight w:val="none"/>
                <w:vertAlign w:val="baseline"/>
              </w:rPr>
            </w:pPr>
          </w:p>
        </w:tc>
        <w:tc>
          <w:tcPr>
            <w:tcW w:w="1524" w:type="dxa"/>
            <w:tcBorders>
              <w:top w:val="single" w:color="auto" w:sz="4" w:space="0"/>
              <w:left w:val="single" w:color="auto" w:sz="4" w:space="0"/>
              <w:bottom w:val="single" w:color="auto" w:sz="4" w:space="0"/>
              <w:right w:val="single" w:color="auto" w:sz="4" w:space="0"/>
            </w:tcBorders>
          </w:tcPr>
          <w:p>
            <w:pPr>
              <w:widowControl/>
              <w:outlineLvl w:val="1"/>
              <w:rPr>
                <w:rFonts w:hint="eastAsia" w:ascii="仿宋_GB2312" w:hAnsi="宋体"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tcPr>
          <w:p>
            <w:pPr>
              <w:widowControl/>
              <w:outlineLvl w:val="1"/>
              <w:rPr>
                <w:rFonts w:hint="eastAsia" w:ascii="仿宋_GB2312" w:hAnsi="宋体" w:eastAsia="仿宋_GB2312" w:cs="Times New Roman"/>
                <w:b/>
                <w:color w:val="auto"/>
                <w:kern w:val="0"/>
                <w:sz w:val="28"/>
                <w:szCs w:val="32"/>
                <w:highlight w:val="none"/>
                <w:vertAlign w:val="baseline"/>
              </w:rPr>
            </w:pPr>
            <w:r>
              <w:rPr>
                <w:rFonts w:hint="eastAsia" w:ascii="仿宋_GB2312" w:hAnsi="宋体" w:eastAsia="仿宋_GB2312" w:cs="Times New Roman"/>
                <w:b/>
                <w:color w:val="auto"/>
                <w:kern w:val="0"/>
                <w:sz w:val="28"/>
                <w:szCs w:val="32"/>
                <w:highlight w:val="none"/>
                <w:vertAlign w:val="baseline"/>
              </w:rPr>
              <w:t>其中：公务用车购置费</w:t>
            </w:r>
          </w:p>
        </w:tc>
        <w:tc>
          <w:tcPr>
            <w:tcW w:w="1166" w:type="dxa"/>
            <w:tcBorders>
              <w:top w:val="single" w:color="auto" w:sz="4" w:space="0"/>
              <w:left w:val="single" w:color="auto" w:sz="4" w:space="0"/>
              <w:bottom w:val="single" w:color="auto" w:sz="4" w:space="0"/>
              <w:right w:val="single" w:color="auto" w:sz="4" w:space="0"/>
            </w:tcBorders>
          </w:tcPr>
          <w:p>
            <w:pPr>
              <w:widowControl/>
              <w:jc w:val="center"/>
              <w:outlineLvl w:val="1"/>
              <w:rPr>
                <w:rFonts w:hint="eastAsia" w:ascii="仿宋_GB2312" w:hAnsi="宋体" w:eastAsia="仿宋_GB2312" w:cs="Times New Roman"/>
                <w:b/>
                <w:color w:val="auto"/>
                <w:kern w:val="0"/>
                <w:sz w:val="28"/>
                <w:szCs w:val="32"/>
                <w:highlight w:val="none"/>
                <w:vertAlign w:val="baseline"/>
              </w:rPr>
            </w:pPr>
          </w:p>
        </w:tc>
        <w:tc>
          <w:tcPr>
            <w:tcW w:w="1343" w:type="dxa"/>
            <w:tcBorders>
              <w:top w:val="single" w:color="auto" w:sz="4" w:space="0"/>
              <w:left w:val="single" w:color="auto" w:sz="4" w:space="0"/>
              <w:bottom w:val="single" w:color="auto" w:sz="4" w:space="0"/>
              <w:right w:val="single" w:color="auto" w:sz="4" w:space="0"/>
            </w:tcBorders>
          </w:tcPr>
          <w:p>
            <w:pPr>
              <w:widowControl/>
              <w:jc w:val="center"/>
              <w:outlineLvl w:val="1"/>
              <w:rPr>
                <w:rFonts w:hint="eastAsia" w:ascii="仿宋_GB2312" w:hAnsi="宋体" w:eastAsia="仿宋_GB2312" w:cs="Times New Roman"/>
                <w:b/>
                <w:color w:val="auto"/>
                <w:kern w:val="0"/>
                <w:sz w:val="28"/>
                <w:szCs w:val="32"/>
                <w:highlight w:val="none"/>
                <w:vertAlign w:val="baseline"/>
              </w:rPr>
            </w:pPr>
          </w:p>
        </w:tc>
        <w:tc>
          <w:tcPr>
            <w:tcW w:w="1413" w:type="dxa"/>
            <w:tcBorders>
              <w:top w:val="single" w:color="auto" w:sz="4" w:space="0"/>
              <w:left w:val="single" w:color="auto" w:sz="4" w:space="0"/>
              <w:bottom w:val="single" w:color="auto" w:sz="4" w:space="0"/>
              <w:right w:val="single" w:color="auto" w:sz="4" w:space="0"/>
            </w:tcBorders>
          </w:tcPr>
          <w:p>
            <w:pPr>
              <w:widowControl/>
              <w:outlineLvl w:val="1"/>
              <w:rPr>
                <w:rFonts w:hint="eastAsia" w:ascii="仿宋_GB2312" w:hAnsi="宋体" w:eastAsia="仿宋_GB2312" w:cs="Times New Roman"/>
                <w:b/>
                <w:color w:val="auto"/>
                <w:kern w:val="0"/>
                <w:sz w:val="28"/>
                <w:szCs w:val="32"/>
                <w:highlight w:val="none"/>
                <w:vertAlign w:val="baseline"/>
              </w:rPr>
            </w:pPr>
          </w:p>
        </w:tc>
        <w:tc>
          <w:tcPr>
            <w:tcW w:w="1524" w:type="dxa"/>
            <w:tcBorders>
              <w:top w:val="single" w:color="auto" w:sz="4" w:space="0"/>
              <w:left w:val="single" w:color="auto" w:sz="4" w:space="0"/>
              <w:bottom w:val="single" w:color="auto" w:sz="4" w:space="0"/>
              <w:right w:val="single" w:color="auto" w:sz="4" w:space="0"/>
            </w:tcBorders>
          </w:tcPr>
          <w:p>
            <w:pPr>
              <w:widowControl/>
              <w:outlineLvl w:val="1"/>
              <w:rPr>
                <w:rFonts w:hint="eastAsia" w:ascii="仿宋_GB2312" w:hAnsi="宋体" w:eastAsia="仿宋_GB2312" w:cs="Times New Roman"/>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c>
          <w:tcPr>
            <w:tcW w:w="3579" w:type="dxa"/>
            <w:tcBorders>
              <w:top w:val="single" w:color="auto" w:sz="4" w:space="0"/>
              <w:left w:val="single" w:color="auto" w:sz="4" w:space="0"/>
              <w:bottom w:val="single" w:color="auto" w:sz="4" w:space="0"/>
              <w:right w:val="single" w:color="auto" w:sz="4" w:space="0"/>
            </w:tcBorders>
          </w:tcPr>
          <w:p>
            <w:pPr>
              <w:widowControl/>
              <w:outlineLvl w:val="1"/>
              <w:rPr>
                <w:rFonts w:hint="eastAsia" w:ascii="仿宋_GB2312" w:hAnsi="宋体" w:eastAsia="仿宋_GB2312" w:cs="Times New Roman"/>
                <w:b/>
                <w:color w:val="auto"/>
                <w:kern w:val="0"/>
                <w:sz w:val="28"/>
                <w:szCs w:val="32"/>
                <w:highlight w:val="none"/>
                <w:vertAlign w:val="baseline"/>
              </w:rPr>
            </w:pPr>
            <w:r>
              <w:rPr>
                <w:rFonts w:hint="eastAsia" w:ascii="仿宋_GB2312" w:hAnsi="宋体" w:eastAsia="仿宋_GB2312" w:cs="Times New Roman"/>
                <w:b/>
                <w:color w:val="auto"/>
                <w:kern w:val="0"/>
                <w:sz w:val="28"/>
                <w:szCs w:val="32"/>
                <w:highlight w:val="none"/>
                <w:vertAlign w:val="baseline"/>
              </w:rPr>
              <w:t xml:space="preserve"> 公务用车运行费</w:t>
            </w:r>
          </w:p>
        </w:tc>
        <w:tc>
          <w:tcPr>
            <w:tcW w:w="1166" w:type="dxa"/>
            <w:tcBorders>
              <w:top w:val="single" w:color="auto" w:sz="4" w:space="0"/>
              <w:left w:val="single" w:color="auto" w:sz="4" w:space="0"/>
              <w:bottom w:val="single" w:color="auto" w:sz="4" w:space="0"/>
              <w:right w:val="single" w:color="auto" w:sz="4" w:space="0"/>
            </w:tcBorders>
          </w:tcPr>
          <w:p>
            <w:pPr>
              <w:widowControl/>
              <w:jc w:val="center"/>
              <w:outlineLvl w:val="1"/>
              <w:rPr>
                <w:rFonts w:hint="eastAsia" w:ascii="仿宋_GB2312" w:hAnsi="宋体" w:eastAsia="仿宋_GB2312" w:cs="Times New Roman"/>
                <w:b/>
                <w:color w:val="auto"/>
                <w:kern w:val="0"/>
                <w:sz w:val="28"/>
                <w:szCs w:val="32"/>
                <w:highlight w:val="none"/>
                <w:vertAlign w:val="baseline"/>
              </w:rPr>
            </w:pPr>
            <w:r>
              <w:rPr>
                <w:rFonts w:hint="eastAsia" w:ascii="仿宋_GB2312" w:hAnsi="宋体" w:eastAsia="仿宋_GB2312" w:cs="Times New Roman"/>
                <w:b/>
                <w:color w:val="auto"/>
                <w:kern w:val="0"/>
                <w:sz w:val="28"/>
                <w:szCs w:val="32"/>
                <w:highlight w:val="none"/>
                <w:vertAlign w:val="baseline"/>
              </w:rPr>
              <w:t>1.20</w:t>
            </w:r>
          </w:p>
        </w:tc>
        <w:tc>
          <w:tcPr>
            <w:tcW w:w="1343" w:type="dxa"/>
            <w:tcBorders>
              <w:top w:val="single" w:color="auto" w:sz="4" w:space="0"/>
              <w:left w:val="single" w:color="auto" w:sz="4" w:space="0"/>
              <w:bottom w:val="single" w:color="auto" w:sz="4" w:space="0"/>
              <w:right w:val="single" w:color="auto" w:sz="4" w:space="0"/>
            </w:tcBorders>
          </w:tcPr>
          <w:p>
            <w:pPr>
              <w:widowControl/>
              <w:jc w:val="center"/>
              <w:outlineLvl w:val="1"/>
              <w:rPr>
                <w:rFonts w:hint="eastAsia" w:ascii="仿宋_GB2312" w:hAnsi="宋体" w:eastAsia="仿宋_GB2312" w:cs="Times New Roman"/>
                <w:b/>
                <w:color w:val="auto"/>
                <w:kern w:val="0"/>
                <w:sz w:val="28"/>
                <w:szCs w:val="32"/>
                <w:highlight w:val="none"/>
                <w:vertAlign w:val="baseline"/>
              </w:rPr>
            </w:pPr>
            <w:r>
              <w:rPr>
                <w:rFonts w:hint="eastAsia" w:ascii="仿宋_GB2312" w:hAnsi="宋体" w:eastAsia="仿宋_GB2312" w:cs="Times New Roman"/>
                <w:b/>
                <w:color w:val="auto"/>
                <w:kern w:val="0"/>
                <w:sz w:val="28"/>
                <w:szCs w:val="32"/>
                <w:highlight w:val="none"/>
                <w:vertAlign w:val="baseline"/>
              </w:rPr>
              <w:t>1.20</w:t>
            </w:r>
          </w:p>
        </w:tc>
        <w:tc>
          <w:tcPr>
            <w:tcW w:w="1413" w:type="dxa"/>
            <w:tcBorders>
              <w:top w:val="single" w:color="auto" w:sz="4" w:space="0"/>
              <w:left w:val="single" w:color="auto" w:sz="4" w:space="0"/>
              <w:bottom w:val="single" w:color="auto" w:sz="4" w:space="0"/>
              <w:right w:val="single" w:color="auto" w:sz="4" w:space="0"/>
            </w:tcBorders>
          </w:tcPr>
          <w:p>
            <w:pPr>
              <w:widowControl/>
              <w:outlineLvl w:val="1"/>
              <w:rPr>
                <w:rFonts w:hint="eastAsia" w:ascii="仿宋_GB2312" w:hAnsi="宋体" w:eastAsia="仿宋_GB2312" w:cs="Times New Roman"/>
                <w:b/>
                <w:color w:val="auto"/>
                <w:kern w:val="0"/>
                <w:sz w:val="28"/>
                <w:szCs w:val="32"/>
                <w:highlight w:val="none"/>
                <w:vertAlign w:val="baseline"/>
              </w:rPr>
            </w:pPr>
          </w:p>
        </w:tc>
        <w:tc>
          <w:tcPr>
            <w:tcW w:w="1524" w:type="dxa"/>
            <w:tcBorders>
              <w:top w:val="single" w:color="auto" w:sz="4" w:space="0"/>
              <w:left w:val="single" w:color="auto" w:sz="4" w:space="0"/>
              <w:bottom w:val="single" w:color="auto" w:sz="4" w:space="0"/>
              <w:right w:val="single" w:color="auto" w:sz="4" w:space="0"/>
            </w:tcBorders>
          </w:tcPr>
          <w:p>
            <w:pPr>
              <w:widowControl/>
              <w:outlineLvl w:val="1"/>
              <w:rPr>
                <w:rFonts w:hint="eastAsia" w:ascii="仿宋_GB2312" w:hAnsi="宋体" w:eastAsia="仿宋_GB2312" w:cs="Times New Roman"/>
                <w:b/>
                <w:color w:val="auto"/>
                <w:kern w:val="0"/>
                <w:sz w:val="28"/>
                <w:szCs w:val="32"/>
                <w:highlight w:val="none"/>
                <w:vertAlign w:val="baseline"/>
              </w:rPr>
            </w:pPr>
          </w:p>
        </w:tc>
      </w:tr>
    </w:tbl>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ind w:left="640"/>
        <w:jc w:val="center"/>
        <w:rPr>
          <w:rFonts w:hint="eastAsia" w:ascii="仿宋" w:hAnsi="仿宋" w:eastAsia="仿宋" w:cs="仿宋_GB2312"/>
          <w:bCs/>
          <w:kern w:val="0"/>
          <w:sz w:val="28"/>
          <w:szCs w:val="28"/>
        </w:rPr>
      </w:pPr>
    </w:p>
    <w:p>
      <w:pPr>
        <w:spacing w:line="600" w:lineRule="exact"/>
        <w:rPr>
          <w:rFonts w:hint="eastAsia" w:ascii="仿宋" w:hAnsi="仿宋" w:eastAsia="仿宋" w:cs="仿宋_GB2312"/>
          <w:bCs/>
          <w:kern w:val="0"/>
          <w:sz w:val="28"/>
          <w:szCs w:val="28"/>
        </w:rPr>
      </w:pPr>
    </w:p>
    <w:p>
      <w:pPr>
        <w:widowControl/>
        <w:jc w:val="left"/>
        <w:textAlignment w:val="bottom"/>
        <w:rPr>
          <w:rFonts w:hint="eastAsia" w:ascii="宋体" w:hAnsi="宋体" w:cs="宋体"/>
          <w:kern w:val="0"/>
          <w:sz w:val="20"/>
          <w:szCs w:val="20"/>
        </w:rPr>
      </w:pPr>
    </w:p>
    <w:p>
      <w:pPr>
        <w:widowControl/>
        <w:jc w:val="left"/>
        <w:textAlignment w:val="bottom"/>
        <w:rPr>
          <w:rFonts w:hint="eastAsia" w:ascii="宋体" w:hAnsi="宋体" w:cs="宋体"/>
          <w:kern w:val="0"/>
          <w:sz w:val="20"/>
          <w:szCs w:val="20"/>
        </w:rPr>
      </w:pPr>
    </w:p>
    <w:p>
      <w:pPr>
        <w:widowControl/>
        <w:jc w:val="left"/>
        <w:textAlignment w:val="bottom"/>
        <w:rPr>
          <w:rFonts w:hint="eastAsia" w:ascii="宋体" w:hAnsi="宋体" w:cs="宋体"/>
          <w:kern w:val="0"/>
          <w:sz w:val="20"/>
          <w:szCs w:val="20"/>
        </w:rPr>
      </w:pPr>
    </w:p>
    <w:p>
      <w:pPr>
        <w:pStyle w:val="2"/>
        <w:rPr>
          <w:rFonts w:hint="eastAsia"/>
        </w:rPr>
      </w:pPr>
    </w:p>
    <w:p>
      <w:pPr>
        <w:widowControl/>
        <w:jc w:val="left"/>
        <w:textAlignment w:val="bottom"/>
        <w:rPr>
          <w:rFonts w:hint="eastAsia" w:ascii="宋体" w:hAnsi="宋体" w:cs="宋体"/>
          <w:kern w:val="0"/>
          <w:sz w:val="20"/>
          <w:szCs w:val="20"/>
        </w:rPr>
      </w:pPr>
    </w:p>
    <w:p>
      <w:pPr>
        <w:widowControl/>
        <w:jc w:val="left"/>
        <w:textAlignment w:val="bottom"/>
        <w:rPr>
          <w:rFonts w:hint="eastAsia" w:ascii="仿宋" w:hAnsi="仿宋" w:eastAsia="仿宋" w:cs="仿宋_GB2312"/>
          <w:bCs/>
          <w:kern w:val="0"/>
          <w:sz w:val="28"/>
          <w:szCs w:val="28"/>
        </w:rPr>
      </w:pPr>
      <w:r>
        <w:rPr>
          <w:rFonts w:hint="eastAsia" w:ascii="宋体" w:hAnsi="宋体" w:cs="宋体"/>
          <w:kern w:val="0"/>
          <w:sz w:val="20"/>
          <w:szCs w:val="20"/>
        </w:rPr>
        <w:t>表</w:t>
      </w:r>
      <w:r>
        <w:rPr>
          <w:rFonts w:ascii="宋体" w:hAnsi="宋体" w:cs="宋体"/>
          <w:kern w:val="0"/>
          <w:sz w:val="20"/>
          <w:szCs w:val="20"/>
        </w:rPr>
        <w:t>1</w:t>
      </w:r>
      <w:r>
        <w:rPr>
          <w:rFonts w:hint="eastAsia" w:ascii="宋体" w:hAnsi="宋体" w:cs="宋体"/>
          <w:kern w:val="0"/>
          <w:sz w:val="20"/>
          <w:szCs w:val="20"/>
        </w:rPr>
        <w:t>1</w:t>
      </w:r>
    </w:p>
    <w:p>
      <w:pPr>
        <w:spacing w:line="600" w:lineRule="exact"/>
        <w:ind w:firstLine="2891" w:firstLineChars="900"/>
        <w:rPr>
          <w:rFonts w:hint="eastAsia" w:ascii="仿宋_GB2312" w:hAnsi="宋体" w:eastAsia="仿宋_GB2312"/>
          <w:b/>
          <w:kern w:val="0"/>
          <w:sz w:val="32"/>
          <w:szCs w:val="32"/>
        </w:rPr>
      </w:pPr>
      <w:r>
        <w:rPr>
          <w:rFonts w:hint="eastAsia" w:ascii="仿宋_GB2312" w:hAnsi="宋体" w:eastAsia="仿宋_GB2312"/>
          <w:b/>
          <w:kern w:val="0"/>
          <w:sz w:val="32"/>
          <w:szCs w:val="32"/>
        </w:rPr>
        <w:t>上年结转结余情况明细表</w:t>
      </w:r>
    </w:p>
    <w:p>
      <w:pPr>
        <w:spacing w:line="600" w:lineRule="exact"/>
        <w:rPr>
          <w:rFonts w:hint="eastAsia" w:ascii="仿宋_GB2312" w:hAnsi="宋体" w:eastAsia="仿宋_GB2312"/>
          <w:b/>
          <w:kern w:val="0"/>
          <w:sz w:val="32"/>
          <w:szCs w:val="32"/>
        </w:rPr>
      </w:pPr>
      <w:r>
        <w:rPr>
          <w:rFonts w:hint="eastAsia" w:ascii="仿宋_GB2312" w:hAnsi="宋体" w:eastAsia="仿宋_GB2312"/>
          <w:kern w:val="0"/>
          <w:sz w:val="24"/>
        </w:rPr>
        <w:t>编制单位：中国共产党焉耆回族自治县委员会社会工作部       单位：万元</w:t>
      </w:r>
    </w:p>
    <w:tbl>
      <w:tblPr>
        <w:tblStyle w:val="12"/>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128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294" w:hRule="atLeast"/>
        </w:trPr>
        <w:tc>
          <w:tcPr>
            <w:tcW w:w="128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1054"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基本支出</w:t>
            </w:r>
          </w:p>
        </w:tc>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项目支出</w:t>
            </w:r>
          </w:p>
        </w:tc>
        <w:tc>
          <w:tcPr>
            <w:tcW w:w="797"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基本支出</w:t>
            </w:r>
          </w:p>
        </w:tc>
        <w:tc>
          <w:tcPr>
            <w:tcW w:w="1211" w:type="dxa"/>
            <w:vMerge w:val="restart"/>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项目支出</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578" w:hRule="atLeast"/>
        </w:trPr>
        <w:tc>
          <w:tcPr>
            <w:tcW w:w="1287" w:type="dxa"/>
            <w:vMerge w:val="continue"/>
            <w:tcBorders>
              <w:top w:val="single" w:color="auto" w:sz="4" w:space="0"/>
              <w:left w:val="single" w:color="auto" w:sz="4" w:space="0"/>
              <w:bottom w:val="single" w:color="auto" w:sz="4" w:space="0"/>
              <w:right w:val="single" w:color="auto" w:sz="4" w:space="0"/>
            </w:tcBorders>
            <w:vAlign w:val="center"/>
          </w:tcPr>
          <w:p/>
        </w:tc>
        <w:tc>
          <w:tcPr>
            <w:tcW w:w="850" w:type="dxa"/>
            <w:vMerge w:val="continue"/>
            <w:tcBorders>
              <w:top w:val="single" w:color="auto" w:sz="4" w:space="0"/>
              <w:left w:val="single" w:color="auto" w:sz="4" w:space="0"/>
              <w:bottom w:val="single" w:color="auto" w:sz="4" w:space="0"/>
              <w:right w:val="single" w:color="auto" w:sz="4" w:space="0"/>
            </w:tcBorders>
            <w:vAlign w:val="center"/>
          </w:tcPr>
          <w:p/>
        </w:tc>
        <w:tc>
          <w:tcPr>
            <w:tcW w:w="1054" w:type="dxa"/>
            <w:vMerge w:val="continue"/>
            <w:tcBorders>
              <w:top w:val="single" w:color="auto" w:sz="4" w:space="0"/>
              <w:left w:val="single" w:color="auto" w:sz="4" w:space="0"/>
              <w:bottom w:val="single" w:color="auto" w:sz="4" w:space="0"/>
              <w:right w:val="single" w:color="auto" w:sz="4" w:space="0"/>
            </w:tcBorders>
            <w:vAlign w:val="center"/>
          </w:tc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9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p>
        </w:tc>
        <w:tc>
          <w:tcPr>
            <w:tcW w:w="723"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128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105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7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128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105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7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18" w:hRule="atLeast"/>
        </w:trPr>
        <w:tc>
          <w:tcPr>
            <w:tcW w:w="128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105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7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650" w:hRule="atLeast"/>
        </w:trPr>
        <w:tc>
          <w:tcPr>
            <w:tcW w:w="128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r>
              <w:rPr>
                <w:rFonts w:hint="eastAsia" w:ascii="仿宋_GB2312" w:hAnsi="宋体" w:eastAsia="仿宋_GB2312" w:cs="宋体"/>
                <w:b/>
                <w:bCs/>
                <w:kern w:val="0"/>
                <w:sz w:val="20"/>
                <w:szCs w:val="20"/>
              </w:rPr>
              <w:t>总计</w:t>
            </w:r>
          </w:p>
        </w:tc>
        <w:tc>
          <w:tcPr>
            <w:tcW w:w="1054"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890"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tc>
        <w:tc>
          <w:tcPr>
            <w:tcW w:w="714"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rPr>
                <w:rFonts w:hint="eastAsia" w:ascii="仿宋_GB2312" w:hAnsi="宋体" w:eastAsia="仿宋_GB2312" w:cs="宋体"/>
                <w:b/>
                <w:bCs/>
                <w:kern w:val="0"/>
                <w:sz w:val="20"/>
                <w:szCs w:val="20"/>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797"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72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88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c>
          <w:tcPr>
            <w:tcW w:w="121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_GB2312"/>
                <w:bCs/>
                <w:kern w:val="0"/>
                <w:sz w:val="28"/>
                <w:szCs w:val="28"/>
              </w:rPr>
            </w:pPr>
          </w:p>
        </w:tc>
      </w:tr>
    </w:tbl>
    <w:p>
      <w:pPr>
        <w:widowControl/>
        <w:spacing w:line="320" w:lineRule="exact"/>
        <w:outlineLvl w:val="1"/>
        <w:rPr>
          <w:rFonts w:hint="eastAsia" w:ascii="仿宋_GB2312" w:hAnsi="宋体" w:eastAsia="仿宋_GB2312"/>
          <w:b/>
          <w:kern w:val="0"/>
          <w:sz w:val="28"/>
          <w:szCs w:val="32"/>
        </w:rPr>
      </w:pPr>
    </w:p>
    <w:p>
      <w:pPr>
        <w:widowControl/>
        <w:spacing w:line="320" w:lineRule="exact"/>
        <w:outlineLvl w:val="1"/>
        <w:rPr>
          <w:rFonts w:hint="eastAsia" w:ascii="仿宋_GB2312" w:hAnsi="宋体" w:eastAsia="仿宋_GB2312"/>
          <w:b/>
          <w:kern w:val="0"/>
          <w:sz w:val="28"/>
          <w:szCs w:val="32"/>
        </w:rPr>
      </w:pPr>
      <w:r>
        <w:rPr>
          <w:rFonts w:hint="eastAsia" w:ascii="仿宋_GB2312" w:hAnsi="宋体" w:eastAsia="仿宋_GB2312"/>
          <w:b/>
          <w:kern w:val="0"/>
          <w:sz w:val="28"/>
          <w:szCs w:val="32"/>
        </w:rPr>
        <w:t>备注：本单位2025年无上年结转结余预算的支出，此表为空表。</w:t>
      </w:r>
    </w:p>
    <w:p>
      <w:pPr>
        <w:widowControl/>
        <w:spacing w:line="280" w:lineRule="exact"/>
        <w:jc w:val="left"/>
        <w:outlineLvl w:val="1"/>
        <w:rPr>
          <w:rFonts w:hint="eastAsia" w:ascii="仿宋_GB2312" w:hAnsi="宋体" w:eastAsia="仿宋_GB2312"/>
          <w:kern w:val="0"/>
          <w:sz w:val="32"/>
          <w:szCs w:val="32"/>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spacing w:line="600" w:lineRule="exact"/>
        <w:ind w:firstLine="640" w:firstLineChars="200"/>
        <w:jc w:val="center"/>
        <w:rPr>
          <w:rFonts w:hint="eastAsia" w:ascii="黑体" w:hAnsi="黑体" w:eastAsia="黑体"/>
          <w:kern w:val="0"/>
          <w:sz w:val="32"/>
          <w:szCs w:val="32"/>
        </w:rPr>
      </w:pPr>
    </w:p>
    <w:p>
      <w:pPr>
        <w:spacing w:line="600" w:lineRule="exact"/>
        <w:ind w:firstLine="640" w:firstLineChars="200"/>
        <w:jc w:val="center"/>
        <w:rPr>
          <w:rFonts w:hint="eastAsia" w:ascii="黑体" w:hAnsi="黑体" w:eastAsia="黑体"/>
          <w:kern w:val="0"/>
          <w:sz w:val="32"/>
          <w:szCs w:val="32"/>
        </w:rPr>
      </w:pPr>
      <w:r>
        <w:rPr>
          <w:rFonts w:hint="eastAsia" w:ascii="黑体" w:hAnsi="黑体" w:eastAsia="黑体"/>
          <w:kern w:val="0"/>
          <w:sz w:val="32"/>
          <w:szCs w:val="32"/>
        </w:rPr>
        <w:t>第三部分  2025年单位预算情况说明</w:t>
      </w:r>
    </w:p>
    <w:p>
      <w:pPr>
        <w:spacing w:line="600" w:lineRule="exact"/>
        <w:ind w:firstLine="643" w:firstLineChars="200"/>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一、关于中国共产党焉耆回族自治县委员会社会工作部2025年收支预算情况的总体说明</w:t>
      </w:r>
    </w:p>
    <w:p>
      <w:pPr>
        <w:spacing w:line="600" w:lineRule="exact"/>
        <w:ind w:firstLine="640" w:firstLineChars="200"/>
        <w:rPr>
          <w:rFonts w:eastAsia="仿宋_GB2312"/>
          <w:kern w:val="0"/>
          <w:sz w:val="32"/>
          <w:szCs w:val="32"/>
        </w:rPr>
      </w:pPr>
      <w:r>
        <w:rPr>
          <w:rFonts w:eastAsia="仿宋_GB2312"/>
          <w:kern w:val="0"/>
          <w:sz w:val="32"/>
          <w:szCs w:val="32"/>
        </w:rPr>
        <w:t>按照全口径预算的原则，中国共产党焉耆回族自治县委员会社会工作部2025年所有收入和支出均纳入单位预算管理。收支总预算167.36万元。</w:t>
      </w:r>
    </w:p>
    <w:p>
      <w:pPr>
        <w:spacing w:line="600" w:lineRule="exact"/>
        <w:ind w:firstLine="640" w:firstLineChars="200"/>
        <w:rPr>
          <w:rFonts w:eastAsia="仿宋_GB2312"/>
          <w:kern w:val="0"/>
          <w:sz w:val="32"/>
          <w:szCs w:val="32"/>
        </w:rPr>
      </w:pPr>
      <w:r>
        <w:rPr>
          <w:rFonts w:eastAsia="仿宋_GB2312"/>
          <w:kern w:val="0"/>
          <w:sz w:val="32"/>
          <w:szCs w:val="32"/>
        </w:rPr>
        <w:t>收入预算包括:一般公共预算。</w:t>
      </w:r>
    </w:p>
    <w:p>
      <w:pPr>
        <w:spacing w:line="600" w:lineRule="exact"/>
        <w:ind w:firstLine="640" w:firstLineChars="200"/>
        <w:rPr>
          <w:rFonts w:eastAsia="仿宋_GB2312"/>
          <w:kern w:val="0"/>
          <w:sz w:val="32"/>
          <w:szCs w:val="32"/>
        </w:rPr>
      </w:pPr>
      <w:r>
        <w:rPr>
          <w:rFonts w:eastAsia="仿宋_GB2312"/>
          <w:kern w:val="0"/>
          <w:sz w:val="32"/>
          <w:szCs w:val="32"/>
        </w:rPr>
        <w:t>支出预算包括:一般公共服务支出、社会保障和就业支出、卫生健康支出、住房保障支出。</w:t>
      </w:r>
    </w:p>
    <w:p>
      <w:pPr>
        <w:spacing w:line="600" w:lineRule="exact"/>
        <w:ind w:firstLine="643" w:firstLineChars="200"/>
        <w:rPr>
          <w:rFonts w:eastAsia="楷体_GB2312"/>
          <w:b/>
          <w:bCs/>
          <w:kern w:val="0"/>
          <w:sz w:val="32"/>
          <w:szCs w:val="32"/>
        </w:rPr>
      </w:pPr>
      <w:r>
        <w:rPr>
          <w:rFonts w:eastAsia="楷体_GB2312"/>
          <w:b/>
          <w:bCs/>
          <w:kern w:val="0"/>
          <w:sz w:val="32"/>
          <w:szCs w:val="32"/>
        </w:rPr>
        <w:t>二、关于中国共产党焉耆回族自治县委员会社会工作部2025年收入预算情况说明</w:t>
      </w:r>
    </w:p>
    <w:p>
      <w:pPr>
        <w:spacing w:line="600" w:lineRule="exact"/>
        <w:ind w:firstLine="640" w:firstLineChars="200"/>
        <w:rPr>
          <w:rFonts w:eastAsia="仿宋_GB2312"/>
          <w:kern w:val="0"/>
          <w:sz w:val="32"/>
          <w:szCs w:val="32"/>
        </w:rPr>
      </w:pPr>
      <w:r>
        <w:rPr>
          <w:rFonts w:eastAsia="仿宋_GB2312"/>
          <w:kern w:val="0"/>
          <w:sz w:val="32"/>
          <w:szCs w:val="32"/>
        </w:rPr>
        <w:t>中国共产党焉耆回族自治县委员会社会工作部收入预算167.36万元，其中：</w:t>
      </w:r>
    </w:p>
    <w:p>
      <w:pPr>
        <w:spacing w:line="600" w:lineRule="exact"/>
        <w:ind w:firstLine="640" w:firstLineChars="200"/>
        <w:rPr>
          <w:rFonts w:eastAsia="仿宋_GB2312"/>
          <w:kern w:val="0"/>
          <w:sz w:val="32"/>
          <w:szCs w:val="32"/>
          <w:highlight w:val="yellow"/>
        </w:rPr>
      </w:pPr>
      <w:r>
        <w:rPr>
          <w:rFonts w:eastAsia="仿宋_GB2312"/>
          <w:kern w:val="0"/>
          <w:sz w:val="32"/>
          <w:szCs w:val="32"/>
        </w:rPr>
        <w:t>一般公共预算167.36万元，占100%，比上年预算增加167.36万元，增长100%，主要原因：本单位是2025年新增预算单位。</w:t>
      </w:r>
    </w:p>
    <w:p>
      <w:pPr>
        <w:spacing w:line="600" w:lineRule="exact"/>
        <w:ind w:firstLine="640" w:firstLineChars="200"/>
        <w:rPr>
          <w:rFonts w:eastAsia="仿宋_GB2312"/>
          <w:kern w:val="0"/>
          <w:sz w:val="32"/>
          <w:szCs w:val="32"/>
        </w:rPr>
      </w:pPr>
      <w:r>
        <w:rPr>
          <w:rFonts w:eastAsia="仿宋_GB2312"/>
          <w:kern w:val="0"/>
          <w:sz w:val="32"/>
          <w:szCs w:val="32"/>
        </w:rPr>
        <w:t>上级一般公共预算</w:t>
      </w:r>
      <w:r>
        <w:rPr>
          <w:rFonts w:hint="eastAsia" w:eastAsia="仿宋_GB2312"/>
          <w:kern w:val="0"/>
          <w:sz w:val="32"/>
          <w:szCs w:val="32"/>
          <w:lang w:eastAsia="zh-CN"/>
        </w:rPr>
        <w:t>安排的</w:t>
      </w:r>
      <w:r>
        <w:rPr>
          <w:rFonts w:eastAsia="仿宋_GB2312"/>
          <w:kern w:val="0"/>
          <w:sz w:val="32"/>
          <w:szCs w:val="32"/>
        </w:rPr>
        <w:t>转移支付</w:t>
      </w:r>
      <w:r>
        <w:rPr>
          <w:rFonts w:hint="eastAsia" w:eastAsia="仿宋_GB2312"/>
          <w:kern w:val="0"/>
          <w:sz w:val="32"/>
          <w:szCs w:val="32"/>
          <w:lang w:eastAsia="zh-CN"/>
        </w:rPr>
        <w:t>资金</w:t>
      </w:r>
      <w:r>
        <w:rPr>
          <w:rFonts w:eastAsia="仿宋_GB2312"/>
          <w:kern w:val="0"/>
          <w:sz w:val="32"/>
          <w:szCs w:val="32"/>
        </w:rPr>
        <w:t>未安排。</w:t>
      </w:r>
    </w:p>
    <w:p>
      <w:pPr>
        <w:spacing w:line="600" w:lineRule="exact"/>
        <w:ind w:firstLine="640" w:firstLineChars="200"/>
        <w:rPr>
          <w:rFonts w:eastAsia="仿宋_GB2312"/>
          <w:kern w:val="0"/>
          <w:sz w:val="32"/>
          <w:szCs w:val="32"/>
        </w:rPr>
      </w:pPr>
      <w:r>
        <w:rPr>
          <w:rFonts w:eastAsia="仿宋_GB2312"/>
          <w:kern w:val="0"/>
          <w:sz w:val="32"/>
          <w:szCs w:val="32"/>
        </w:rPr>
        <w:t>政府性基金预算未安排。</w:t>
      </w:r>
    </w:p>
    <w:p>
      <w:pPr>
        <w:spacing w:line="600" w:lineRule="exact"/>
        <w:ind w:firstLine="640" w:firstLineChars="200"/>
        <w:rPr>
          <w:rFonts w:eastAsia="仿宋_GB2312"/>
          <w:kern w:val="0"/>
          <w:sz w:val="32"/>
          <w:szCs w:val="32"/>
        </w:rPr>
      </w:pPr>
      <w:r>
        <w:rPr>
          <w:rFonts w:eastAsia="仿宋_GB2312"/>
          <w:kern w:val="0"/>
          <w:sz w:val="32"/>
          <w:szCs w:val="32"/>
        </w:rPr>
        <w:t>上级政府性基金</w:t>
      </w:r>
      <w:r>
        <w:rPr>
          <w:rFonts w:hint="eastAsia" w:eastAsia="仿宋_GB2312"/>
          <w:kern w:val="0"/>
          <w:sz w:val="32"/>
          <w:szCs w:val="32"/>
          <w:lang w:eastAsia="zh-CN"/>
        </w:rPr>
        <w:t>安排的</w:t>
      </w:r>
      <w:r>
        <w:rPr>
          <w:rFonts w:eastAsia="仿宋_GB2312"/>
          <w:kern w:val="0"/>
          <w:sz w:val="32"/>
          <w:szCs w:val="32"/>
        </w:rPr>
        <w:t>转移支付</w:t>
      </w:r>
      <w:r>
        <w:rPr>
          <w:rFonts w:hint="eastAsia" w:eastAsia="仿宋_GB2312"/>
          <w:kern w:val="0"/>
          <w:sz w:val="32"/>
          <w:szCs w:val="32"/>
          <w:lang w:eastAsia="zh-CN"/>
        </w:rPr>
        <w:t>资金</w:t>
      </w:r>
      <w:r>
        <w:rPr>
          <w:rFonts w:eastAsia="仿宋_GB2312"/>
          <w:kern w:val="0"/>
          <w:sz w:val="32"/>
          <w:szCs w:val="32"/>
        </w:rPr>
        <w:t>未安排。</w:t>
      </w:r>
    </w:p>
    <w:p>
      <w:pPr>
        <w:spacing w:line="600" w:lineRule="exact"/>
        <w:ind w:firstLine="640" w:firstLineChars="200"/>
        <w:rPr>
          <w:rFonts w:eastAsia="仿宋_GB2312"/>
          <w:kern w:val="0"/>
          <w:sz w:val="32"/>
          <w:szCs w:val="32"/>
        </w:rPr>
      </w:pPr>
      <w:r>
        <w:rPr>
          <w:rFonts w:eastAsia="仿宋_GB2312"/>
          <w:kern w:val="0"/>
          <w:sz w:val="32"/>
          <w:szCs w:val="32"/>
        </w:rPr>
        <w:t>国有资本经营预算未安排。</w:t>
      </w:r>
    </w:p>
    <w:p>
      <w:pPr>
        <w:spacing w:line="600" w:lineRule="exact"/>
        <w:ind w:firstLine="640" w:firstLineChars="200"/>
        <w:rPr>
          <w:rFonts w:eastAsia="仿宋_GB2312"/>
          <w:kern w:val="0"/>
          <w:sz w:val="32"/>
          <w:szCs w:val="32"/>
        </w:rPr>
      </w:pPr>
      <w:r>
        <w:rPr>
          <w:rFonts w:eastAsia="仿宋_GB2312"/>
          <w:kern w:val="0"/>
          <w:sz w:val="32"/>
          <w:szCs w:val="32"/>
        </w:rPr>
        <w:t>上级国有资本经营预算</w:t>
      </w:r>
      <w:r>
        <w:rPr>
          <w:rFonts w:hint="eastAsia" w:eastAsia="仿宋_GB2312"/>
          <w:kern w:val="0"/>
          <w:sz w:val="32"/>
          <w:szCs w:val="32"/>
          <w:lang w:eastAsia="zh-CN"/>
        </w:rPr>
        <w:t>安排的</w:t>
      </w:r>
      <w:r>
        <w:rPr>
          <w:rFonts w:eastAsia="仿宋_GB2312"/>
          <w:kern w:val="0"/>
          <w:sz w:val="32"/>
          <w:szCs w:val="32"/>
        </w:rPr>
        <w:t>转移支付</w:t>
      </w:r>
      <w:r>
        <w:rPr>
          <w:rFonts w:hint="eastAsia" w:eastAsia="仿宋_GB2312"/>
          <w:kern w:val="0"/>
          <w:sz w:val="32"/>
          <w:szCs w:val="32"/>
          <w:lang w:eastAsia="zh-CN"/>
        </w:rPr>
        <w:t>资金</w:t>
      </w:r>
      <w:r>
        <w:rPr>
          <w:rFonts w:eastAsia="仿宋_GB2312"/>
          <w:kern w:val="0"/>
          <w:sz w:val="32"/>
          <w:szCs w:val="32"/>
        </w:rPr>
        <w:t>未安排。</w:t>
      </w:r>
    </w:p>
    <w:p>
      <w:pPr>
        <w:spacing w:line="600" w:lineRule="exact"/>
        <w:ind w:firstLine="643" w:firstLineChars="200"/>
        <w:rPr>
          <w:rFonts w:eastAsia="楷体_GB2312"/>
          <w:b/>
          <w:bCs/>
          <w:kern w:val="0"/>
          <w:sz w:val="32"/>
          <w:szCs w:val="32"/>
        </w:rPr>
      </w:pPr>
      <w:r>
        <w:rPr>
          <w:rFonts w:eastAsia="楷体_GB2312"/>
          <w:b/>
          <w:bCs/>
          <w:kern w:val="0"/>
          <w:sz w:val="32"/>
          <w:szCs w:val="32"/>
        </w:rPr>
        <w:t>三、关于中国共产党焉耆回族自治县委员会社会工作部2025年支出预算情况说明</w:t>
      </w:r>
    </w:p>
    <w:p>
      <w:pPr>
        <w:spacing w:line="600" w:lineRule="exact"/>
        <w:ind w:firstLine="640" w:firstLineChars="200"/>
        <w:rPr>
          <w:rFonts w:eastAsia="仿宋_GB2312"/>
          <w:kern w:val="0"/>
          <w:sz w:val="32"/>
          <w:szCs w:val="32"/>
        </w:rPr>
      </w:pPr>
      <w:r>
        <w:rPr>
          <w:rFonts w:eastAsia="仿宋_GB2312"/>
          <w:kern w:val="0"/>
          <w:sz w:val="32"/>
          <w:szCs w:val="32"/>
        </w:rPr>
        <w:t>中国共产党焉耆回族自治县委员会社会工作部2025年支出预算167.36万元，其中：</w:t>
      </w:r>
    </w:p>
    <w:p>
      <w:pPr>
        <w:spacing w:line="600" w:lineRule="exact"/>
        <w:ind w:firstLine="640" w:firstLineChars="200"/>
        <w:rPr>
          <w:rFonts w:eastAsia="仿宋_GB2312"/>
          <w:b/>
          <w:kern w:val="0"/>
          <w:sz w:val="32"/>
          <w:szCs w:val="32"/>
        </w:rPr>
      </w:pPr>
      <w:r>
        <w:rPr>
          <w:rFonts w:eastAsia="仿宋_GB2312"/>
          <w:kern w:val="0"/>
          <w:sz w:val="32"/>
          <w:szCs w:val="32"/>
        </w:rPr>
        <w:t>基本支出167.36万元，占100%，比上年预算增加167.36万元，增长100%，主要原因是本单位是2025年新增预算单位。</w:t>
      </w:r>
    </w:p>
    <w:p>
      <w:pPr>
        <w:spacing w:line="600" w:lineRule="exact"/>
        <w:ind w:firstLine="640" w:firstLineChars="200"/>
        <w:rPr>
          <w:rFonts w:eastAsia="仿宋_GB2312"/>
          <w:kern w:val="0"/>
          <w:sz w:val="32"/>
          <w:szCs w:val="32"/>
        </w:rPr>
      </w:pPr>
      <w:r>
        <w:rPr>
          <w:rFonts w:eastAsia="仿宋_GB2312"/>
          <w:kern w:val="0"/>
          <w:sz w:val="32"/>
          <w:szCs w:val="32"/>
        </w:rPr>
        <w:t>项目支出0万元，占0%，比上年预算增加0万元，增长0%，主要原因是本单位无</w:t>
      </w:r>
      <w:r>
        <w:rPr>
          <w:rFonts w:eastAsia="仿宋_GB2312"/>
          <w:sz w:val="32"/>
          <w:szCs w:val="32"/>
        </w:rPr>
        <w:t>特定项目的行政任务或事业发展目标</w:t>
      </w:r>
      <w:r>
        <w:rPr>
          <w:rFonts w:eastAsia="仿宋_GB2312"/>
          <w:kern w:val="0"/>
          <w:sz w:val="32"/>
          <w:szCs w:val="32"/>
        </w:rPr>
        <w:t>。</w:t>
      </w:r>
    </w:p>
    <w:p>
      <w:pPr>
        <w:spacing w:line="600" w:lineRule="exact"/>
        <w:ind w:firstLine="643" w:firstLineChars="200"/>
        <w:rPr>
          <w:rFonts w:eastAsia="楷体_GB2312"/>
          <w:b/>
          <w:bCs/>
          <w:kern w:val="0"/>
          <w:sz w:val="32"/>
          <w:szCs w:val="32"/>
        </w:rPr>
      </w:pPr>
      <w:r>
        <w:rPr>
          <w:rFonts w:eastAsia="楷体_GB2312"/>
          <w:b/>
          <w:bCs/>
          <w:kern w:val="0"/>
          <w:sz w:val="32"/>
          <w:szCs w:val="32"/>
        </w:rPr>
        <w:t>四、关于中国共产党焉耆回族自治县委员会社会工作部2025年财政拨款收支预算情况的总体说明</w:t>
      </w:r>
    </w:p>
    <w:p>
      <w:pPr>
        <w:spacing w:line="600" w:lineRule="exact"/>
        <w:ind w:firstLine="640" w:firstLineChars="200"/>
        <w:rPr>
          <w:rFonts w:eastAsia="仿宋_GB2312"/>
          <w:kern w:val="0"/>
          <w:sz w:val="32"/>
          <w:szCs w:val="32"/>
        </w:rPr>
      </w:pPr>
      <w:r>
        <w:rPr>
          <w:rFonts w:eastAsia="仿宋_GB2312"/>
          <w:kern w:val="0"/>
          <w:sz w:val="32"/>
          <w:szCs w:val="32"/>
        </w:rPr>
        <w:t>2025年财政拨款收支总预算167.36万元。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宋体" w:eastAsia="仿宋_GB2312" w:cs="宋体"/>
          <w:color w:val="auto"/>
          <w:spacing w:val="-6"/>
          <w:kern w:val="0"/>
          <w:sz w:val="32"/>
          <w:szCs w:val="32"/>
          <w:highlight w:val="none"/>
        </w:rPr>
      </w:pPr>
      <w:r>
        <w:rPr>
          <w:rFonts w:hint="eastAsia" w:ascii="仿宋_GB2312" w:hAnsi="宋体" w:eastAsia="仿宋_GB2312" w:cs="宋体"/>
          <w:color w:val="auto"/>
          <w:spacing w:val="-6"/>
          <w:kern w:val="0"/>
          <w:sz w:val="32"/>
          <w:szCs w:val="32"/>
          <w:highlight w:val="none"/>
        </w:rPr>
        <w:t>收入全部为一般公共预算拨款，无政府性基金预算拨款和国有资本经营预算。</w:t>
      </w:r>
    </w:p>
    <w:p>
      <w:pPr>
        <w:spacing w:line="600" w:lineRule="exact"/>
        <w:ind w:firstLine="640" w:firstLineChars="200"/>
        <w:rPr>
          <w:rFonts w:eastAsia="仿宋_GB2312"/>
          <w:kern w:val="0"/>
          <w:sz w:val="32"/>
          <w:szCs w:val="32"/>
        </w:rPr>
      </w:pPr>
      <w:r>
        <w:rPr>
          <w:rFonts w:eastAsia="仿宋_GB2312"/>
          <w:kern w:val="0"/>
          <w:sz w:val="32"/>
          <w:szCs w:val="32"/>
        </w:rPr>
        <w:t>收入预算包括：一般公共预算拨款167.36万元。</w:t>
      </w:r>
    </w:p>
    <w:p>
      <w:pPr>
        <w:spacing w:line="600" w:lineRule="exact"/>
        <w:ind w:firstLine="640" w:firstLineChars="200"/>
        <w:rPr>
          <w:rFonts w:eastAsia="仿宋_GB2312"/>
          <w:kern w:val="0"/>
          <w:sz w:val="32"/>
          <w:szCs w:val="32"/>
        </w:rPr>
      </w:pPr>
      <w:r>
        <w:rPr>
          <w:rFonts w:eastAsia="仿宋_GB2312"/>
          <w:kern w:val="0"/>
          <w:sz w:val="32"/>
          <w:szCs w:val="32"/>
        </w:rPr>
        <w:t>一般公共预算支出包括:一般公共服务支出119.62万元，主要用于在职在编人员基本工资、津贴补贴的正常发放以及日常办公运转经费和专项经费的支出。</w:t>
      </w:r>
    </w:p>
    <w:p>
      <w:pPr>
        <w:spacing w:line="600" w:lineRule="exact"/>
        <w:ind w:firstLine="640" w:firstLineChars="200"/>
        <w:rPr>
          <w:rFonts w:eastAsia="仿宋_GB2312"/>
          <w:kern w:val="0"/>
          <w:sz w:val="32"/>
          <w:szCs w:val="32"/>
        </w:rPr>
      </w:pPr>
      <w:r>
        <w:rPr>
          <w:rFonts w:eastAsia="仿宋_GB2312"/>
          <w:kern w:val="0"/>
          <w:sz w:val="32"/>
          <w:szCs w:val="32"/>
        </w:rPr>
        <w:t>社会保障和就业支出25.11万元,主要用于在职在编人员机关事业单位基本养老保险费、职业年金缴费、退休人员独生子女费和取暖补贴的发放。</w:t>
      </w:r>
    </w:p>
    <w:p>
      <w:pPr>
        <w:spacing w:line="600" w:lineRule="exact"/>
        <w:ind w:firstLine="640" w:firstLineChars="200"/>
        <w:rPr>
          <w:rFonts w:eastAsia="仿宋_GB2312"/>
          <w:kern w:val="0"/>
          <w:sz w:val="32"/>
          <w:szCs w:val="32"/>
        </w:rPr>
      </w:pPr>
      <w:r>
        <w:rPr>
          <w:rFonts w:eastAsia="仿宋_GB2312"/>
          <w:kern w:val="0"/>
          <w:sz w:val="32"/>
          <w:szCs w:val="32"/>
        </w:rPr>
        <w:t xml:space="preserve">卫生健康支出10.07万元,主要用于单位在职在编人员基本医疗保险、大病医疗、公务员医疗保险的按时缴纳。          </w:t>
      </w:r>
    </w:p>
    <w:p>
      <w:pPr>
        <w:spacing w:line="600" w:lineRule="exact"/>
        <w:ind w:firstLine="640" w:firstLineChars="200"/>
        <w:rPr>
          <w:rFonts w:ascii="Times New Roman" w:hAnsi="Times New Roman" w:eastAsia="仿宋_GB2312" w:cs="Times New Roman"/>
          <w:kern w:val="0"/>
          <w:sz w:val="32"/>
          <w:szCs w:val="32"/>
        </w:rPr>
      </w:pPr>
      <w:r>
        <w:rPr>
          <w:rFonts w:eastAsia="仿宋_GB2312"/>
          <w:kern w:val="0"/>
          <w:sz w:val="32"/>
          <w:szCs w:val="32"/>
        </w:rPr>
        <w:t xml:space="preserve"> </w:t>
      </w:r>
      <w:r>
        <w:rPr>
          <w:rFonts w:ascii="Times New Roman" w:hAnsi="Times New Roman" w:eastAsia="仿宋_GB2312" w:cs="Times New Roman"/>
          <w:kern w:val="0"/>
          <w:sz w:val="32"/>
          <w:szCs w:val="32"/>
        </w:rPr>
        <w:t>住房保障支出12.56万元，主要用于单位在职在编人员住房公积金的按时缴纳。</w:t>
      </w:r>
    </w:p>
    <w:p>
      <w:pPr>
        <w:spacing w:line="600" w:lineRule="exact"/>
        <w:ind w:firstLine="643" w:firstLineChars="200"/>
        <w:rPr>
          <w:rFonts w:eastAsia="楷体_GB2312"/>
          <w:b/>
          <w:bCs/>
          <w:kern w:val="0"/>
          <w:sz w:val="32"/>
          <w:szCs w:val="32"/>
        </w:rPr>
      </w:pPr>
      <w:r>
        <w:rPr>
          <w:rFonts w:ascii="Times New Roman" w:hAnsi="Times New Roman" w:eastAsia="楷体_GB2312" w:cs="Times New Roman"/>
          <w:b/>
          <w:bCs/>
          <w:kern w:val="0"/>
          <w:sz w:val="32"/>
          <w:szCs w:val="32"/>
        </w:rPr>
        <w:t>五、关于中国共产党焉耆</w:t>
      </w:r>
      <w:r>
        <w:rPr>
          <w:rFonts w:eastAsia="楷体_GB2312"/>
          <w:b/>
          <w:bCs/>
          <w:kern w:val="0"/>
          <w:sz w:val="32"/>
          <w:szCs w:val="32"/>
        </w:rPr>
        <w:t>回族自治县委员会社会工作部2025年一般公共预算当年拨款情况说明</w:t>
      </w:r>
    </w:p>
    <w:p>
      <w:pPr>
        <w:spacing w:line="600" w:lineRule="exact"/>
        <w:ind w:firstLine="643" w:firstLineChars="200"/>
        <w:rPr>
          <w:rFonts w:eastAsia="仿宋_GB2312"/>
          <w:b/>
          <w:kern w:val="0"/>
          <w:sz w:val="32"/>
          <w:szCs w:val="32"/>
        </w:rPr>
      </w:pPr>
      <w:r>
        <w:rPr>
          <w:rFonts w:eastAsia="仿宋_GB2312"/>
          <w:b/>
          <w:kern w:val="0"/>
          <w:sz w:val="32"/>
          <w:szCs w:val="32"/>
        </w:rPr>
        <w:t>（一）一般公共预算当年拨款规模变化情况</w:t>
      </w:r>
    </w:p>
    <w:p>
      <w:pPr>
        <w:spacing w:line="600" w:lineRule="exact"/>
        <w:ind w:firstLine="640" w:firstLineChars="200"/>
        <w:rPr>
          <w:rFonts w:eastAsia="仿宋_GB2312"/>
          <w:kern w:val="0"/>
          <w:sz w:val="32"/>
          <w:szCs w:val="32"/>
        </w:rPr>
      </w:pPr>
      <w:r>
        <w:rPr>
          <w:rFonts w:eastAsia="仿宋_GB2312"/>
          <w:kern w:val="0"/>
          <w:sz w:val="32"/>
          <w:szCs w:val="32"/>
        </w:rPr>
        <w:t>中国共产党焉耆回族自治县委员会社会工作部2025年一般公共预算拨款合计167.36万元,其中：</w:t>
      </w:r>
    </w:p>
    <w:p>
      <w:pPr>
        <w:spacing w:line="600" w:lineRule="exact"/>
        <w:ind w:firstLine="640" w:firstLineChars="200"/>
        <w:rPr>
          <w:rFonts w:eastAsia="仿宋_GB2312"/>
          <w:kern w:val="0"/>
          <w:sz w:val="32"/>
          <w:szCs w:val="32"/>
        </w:rPr>
      </w:pPr>
      <w:r>
        <w:rPr>
          <w:rFonts w:eastAsia="仿宋_GB2312"/>
          <w:kern w:val="0"/>
          <w:sz w:val="32"/>
          <w:szCs w:val="32"/>
        </w:rPr>
        <w:t>基本支出167.36万元，比上年预算增加167.36万元，增长100%，主要原因：本单位是2025年新增预算单位。</w:t>
      </w:r>
    </w:p>
    <w:p>
      <w:pPr>
        <w:spacing w:line="600" w:lineRule="exact"/>
        <w:ind w:firstLine="640" w:firstLineChars="200"/>
        <w:rPr>
          <w:rFonts w:eastAsia="仿宋_GB2312"/>
          <w:kern w:val="0"/>
          <w:sz w:val="32"/>
          <w:szCs w:val="32"/>
        </w:rPr>
      </w:pPr>
      <w:r>
        <w:rPr>
          <w:rFonts w:eastAsia="仿宋_GB2312"/>
          <w:kern w:val="0"/>
          <w:sz w:val="32"/>
          <w:szCs w:val="32"/>
        </w:rPr>
        <w:t>项目支出0万元，比上年预算增加0万元，增长0%，主要原因是：本单位无</w:t>
      </w:r>
      <w:r>
        <w:rPr>
          <w:rFonts w:eastAsia="仿宋_GB2312"/>
          <w:sz w:val="32"/>
          <w:szCs w:val="32"/>
        </w:rPr>
        <w:t>特定项目的行政任务或事业发展目标</w:t>
      </w:r>
      <w:r>
        <w:rPr>
          <w:rFonts w:eastAsia="仿宋_GB2312"/>
          <w:kern w:val="0"/>
          <w:sz w:val="32"/>
          <w:szCs w:val="32"/>
        </w:rPr>
        <w:t>。</w:t>
      </w:r>
    </w:p>
    <w:p>
      <w:pPr>
        <w:spacing w:line="600" w:lineRule="exact"/>
        <w:ind w:firstLine="643" w:firstLineChars="200"/>
        <w:rPr>
          <w:rFonts w:eastAsia="仿宋_GB2312"/>
          <w:b/>
          <w:kern w:val="0"/>
          <w:sz w:val="32"/>
          <w:szCs w:val="32"/>
        </w:rPr>
      </w:pPr>
      <w:r>
        <w:rPr>
          <w:rFonts w:eastAsia="仿宋_GB2312"/>
          <w:b/>
          <w:kern w:val="0"/>
          <w:sz w:val="32"/>
          <w:szCs w:val="32"/>
        </w:rPr>
        <w:t>（二）一般公共预算当年拨款结构情况</w:t>
      </w:r>
    </w:p>
    <w:p>
      <w:pPr>
        <w:spacing w:line="600" w:lineRule="exact"/>
        <w:ind w:firstLine="640" w:firstLineChars="200"/>
        <w:rPr>
          <w:rFonts w:eastAsia="仿宋_GB2312"/>
          <w:sz w:val="32"/>
          <w:szCs w:val="32"/>
        </w:rPr>
      </w:pPr>
      <w:r>
        <w:rPr>
          <w:rFonts w:eastAsia="仿宋_GB2312"/>
          <w:sz w:val="32"/>
          <w:szCs w:val="32"/>
        </w:rPr>
        <w:t>1.一般公共服务支出（类）119.62万元，占71.47%。</w:t>
      </w:r>
    </w:p>
    <w:p>
      <w:pPr>
        <w:spacing w:line="600" w:lineRule="exact"/>
        <w:ind w:firstLine="640" w:firstLineChars="200"/>
        <w:rPr>
          <w:rFonts w:eastAsia="仿宋_GB2312"/>
          <w:sz w:val="32"/>
          <w:szCs w:val="32"/>
        </w:rPr>
      </w:pPr>
      <w:r>
        <w:rPr>
          <w:rFonts w:eastAsia="仿宋_GB2312"/>
          <w:sz w:val="32"/>
          <w:szCs w:val="32"/>
        </w:rPr>
        <w:t>2.社会保障和就业支出（类）25.11万元，占15.01%。</w:t>
      </w:r>
    </w:p>
    <w:p>
      <w:pPr>
        <w:spacing w:line="600" w:lineRule="exact"/>
        <w:ind w:firstLine="640" w:firstLineChars="200"/>
        <w:rPr>
          <w:rFonts w:eastAsia="仿宋_GB2312"/>
          <w:sz w:val="32"/>
          <w:szCs w:val="32"/>
        </w:rPr>
      </w:pPr>
      <w:r>
        <w:rPr>
          <w:rFonts w:eastAsia="仿宋_GB2312"/>
          <w:sz w:val="32"/>
          <w:szCs w:val="32"/>
        </w:rPr>
        <w:t>3.卫生健康支出（类）10.07万元，占6.02%。</w:t>
      </w:r>
    </w:p>
    <w:p>
      <w:pPr>
        <w:spacing w:line="600" w:lineRule="exact"/>
        <w:ind w:firstLine="640" w:firstLineChars="200"/>
        <w:rPr>
          <w:rFonts w:eastAsia="仿宋_GB2312"/>
          <w:sz w:val="32"/>
          <w:szCs w:val="32"/>
        </w:rPr>
      </w:pPr>
      <w:r>
        <w:rPr>
          <w:rFonts w:eastAsia="仿宋_GB2312"/>
          <w:sz w:val="32"/>
          <w:szCs w:val="32"/>
        </w:rPr>
        <w:t>4.住房保障支出（类）12.56万元，占7.5%。</w:t>
      </w:r>
    </w:p>
    <w:p>
      <w:pPr>
        <w:spacing w:line="600" w:lineRule="exact"/>
        <w:ind w:firstLine="643" w:firstLineChars="200"/>
        <w:rPr>
          <w:rFonts w:eastAsia="仿宋_GB2312"/>
          <w:b/>
          <w:kern w:val="0"/>
          <w:sz w:val="32"/>
          <w:szCs w:val="32"/>
        </w:rPr>
      </w:pPr>
      <w:r>
        <w:rPr>
          <w:rFonts w:eastAsia="仿宋_GB2312"/>
          <w:b/>
          <w:kern w:val="0"/>
          <w:sz w:val="32"/>
          <w:szCs w:val="32"/>
        </w:rPr>
        <w:t>（三）一般公共预算当年拨款具体使用情况</w:t>
      </w:r>
    </w:p>
    <w:p>
      <w:pPr>
        <w:spacing w:line="600" w:lineRule="exact"/>
        <w:ind w:firstLine="640" w:firstLineChars="200"/>
        <w:rPr>
          <w:rFonts w:eastAsia="仿宋_GB2312"/>
          <w:kern w:val="0"/>
          <w:sz w:val="32"/>
          <w:szCs w:val="32"/>
        </w:rPr>
      </w:pPr>
      <w:r>
        <w:rPr>
          <w:rFonts w:eastAsia="仿宋_GB2312"/>
          <w:kern w:val="0"/>
          <w:sz w:val="32"/>
          <w:szCs w:val="32"/>
        </w:rPr>
        <w:t xml:space="preserve">1.一般公共服务支出（类）社会工作事务（款）行政运行(项):2025年预算数为90.03万元，比上年预算增加90.03万元,增长100%,主要原因是：本单位是2025年新增预算单位。 </w:t>
      </w:r>
    </w:p>
    <w:p>
      <w:pPr>
        <w:spacing w:line="600" w:lineRule="exact"/>
        <w:ind w:firstLine="640" w:firstLineChars="200"/>
        <w:rPr>
          <w:rFonts w:eastAsia="仿宋_GB2312"/>
          <w:kern w:val="0"/>
          <w:sz w:val="32"/>
          <w:szCs w:val="32"/>
        </w:rPr>
      </w:pPr>
      <w:r>
        <w:rPr>
          <w:rFonts w:eastAsia="仿宋_GB2312"/>
          <w:kern w:val="0"/>
          <w:sz w:val="32"/>
          <w:szCs w:val="32"/>
        </w:rPr>
        <w:t>2.一般公共服务支出（类）社会工作事务（款）事业运行(项):2025年预算数为29.59万元，比上年预算增加29.59万元,增长100%,主要原因是：本单位是2025年新增预算单位。</w:t>
      </w:r>
    </w:p>
    <w:p>
      <w:pPr>
        <w:spacing w:line="600" w:lineRule="exact"/>
        <w:ind w:firstLine="640" w:firstLineChars="200"/>
        <w:rPr>
          <w:rFonts w:eastAsia="仿宋_GB2312"/>
          <w:kern w:val="0"/>
          <w:sz w:val="32"/>
          <w:szCs w:val="32"/>
        </w:rPr>
      </w:pPr>
      <w:r>
        <w:rPr>
          <w:rFonts w:eastAsia="仿宋_GB2312"/>
          <w:kern w:val="0"/>
          <w:sz w:val="32"/>
          <w:szCs w:val="32"/>
        </w:rPr>
        <w:t>3.社会保障和就业支出（类）行政事业单位养老支出（款）机关事业单位基本养老保险缴费支出(项):2025年预算数为16.74万元,比上年预算增加16.74万元,增长100%,主要原因是：本单位是2025年新增预算单位。</w:t>
      </w:r>
    </w:p>
    <w:p>
      <w:pPr>
        <w:spacing w:line="600" w:lineRule="exact"/>
        <w:ind w:firstLine="640" w:firstLineChars="200"/>
        <w:rPr>
          <w:rFonts w:eastAsia="仿宋_GB2312"/>
          <w:kern w:val="0"/>
          <w:sz w:val="32"/>
          <w:szCs w:val="32"/>
        </w:rPr>
      </w:pPr>
      <w:r>
        <w:rPr>
          <w:rFonts w:eastAsia="仿宋_GB2312"/>
          <w:kern w:val="0"/>
          <w:sz w:val="32"/>
          <w:szCs w:val="32"/>
        </w:rPr>
        <w:t>4.社会保障和就业支出（类）行政事业单位养老支出（款）机关事业单位职业年金缴费支出(项):2025年预算数为8.37万元，比上年预算增加8.37万元,增长100%,主要原因是：本单位是2025年新增预算单位。</w:t>
      </w:r>
    </w:p>
    <w:p>
      <w:pPr>
        <w:spacing w:line="600" w:lineRule="exact"/>
        <w:ind w:firstLine="640" w:firstLineChars="200"/>
        <w:rPr>
          <w:rFonts w:eastAsia="仿宋_GB2312"/>
          <w:kern w:val="0"/>
          <w:sz w:val="32"/>
          <w:szCs w:val="32"/>
        </w:rPr>
      </w:pPr>
      <w:r>
        <w:rPr>
          <w:rFonts w:eastAsia="仿宋_GB2312"/>
          <w:kern w:val="0"/>
          <w:sz w:val="32"/>
          <w:szCs w:val="32"/>
        </w:rPr>
        <w:t>5.卫生健康支出（类）行政事业单位医疗（款）行政单位医疗(项):2025年预算数为5.52万元，比上年预算增加5.52万元,增长100%,主要原因是：本单位是2025年新增预算单位。</w:t>
      </w:r>
    </w:p>
    <w:p>
      <w:pPr>
        <w:spacing w:line="600" w:lineRule="exact"/>
        <w:ind w:firstLine="640" w:firstLineChars="200"/>
        <w:rPr>
          <w:rFonts w:eastAsia="仿宋_GB2312"/>
          <w:kern w:val="0"/>
          <w:sz w:val="32"/>
          <w:szCs w:val="32"/>
        </w:rPr>
      </w:pPr>
      <w:r>
        <w:rPr>
          <w:rFonts w:eastAsia="仿宋_GB2312"/>
          <w:kern w:val="0"/>
          <w:sz w:val="32"/>
          <w:szCs w:val="32"/>
        </w:rPr>
        <w:t>6卫生健康支出（类）行政事业单位医疗（款）事业单位医疗(项):2025年预算数为2.21万元，比上年预算增加2.21万元,增长100%,主要原因是：本单位是2025年新增预算单位。</w:t>
      </w:r>
    </w:p>
    <w:p>
      <w:pPr>
        <w:spacing w:line="600" w:lineRule="exact"/>
        <w:ind w:firstLine="640" w:firstLineChars="200"/>
        <w:rPr>
          <w:rFonts w:eastAsia="仿宋_GB2312"/>
          <w:kern w:val="0"/>
          <w:sz w:val="32"/>
          <w:szCs w:val="32"/>
        </w:rPr>
      </w:pPr>
      <w:r>
        <w:rPr>
          <w:rFonts w:eastAsia="仿宋_GB2312"/>
          <w:kern w:val="0"/>
          <w:sz w:val="32"/>
          <w:szCs w:val="32"/>
        </w:rPr>
        <w:t>7.卫生健康支出（类）行政事业单位医疗（款）公务员医疗补助(项):2025年预算数为2.34万元,比上年预算增加2.34万元,增长100%,主要原因是：本单位是2025年新增预算单位。</w:t>
      </w:r>
    </w:p>
    <w:p>
      <w:pPr>
        <w:spacing w:line="600" w:lineRule="exact"/>
        <w:ind w:firstLine="640" w:firstLineChars="200"/>
        <w:rPr>
          <w:rFonts w:eastAsia="楷体_GB2312"/>
          <w:b/>
          <w:bCs/>
          <w:kern w:val="0"/>
          <w:sz w:val="32"/>
          <w:szCs w:val="32"/>
        </w:rPr>
      </w:pPr>
      <w:r>
        <w:rPr>
          <w:rFonts w:eastAsia="仿宋_GB2312"/>
          <w:kern w:val="0"/>
          <w:sz w:val="32"/>
          <w:szCs w:val="32"/>
        </w:rPr>
        <w:t>8.住房保障支出（类）住房改革支出（款）住房公积金(项):2024年预算数为12.56万元,比上年预算增加12.56万元,增长100%,主要原因是：本单位是2025年新增预算单位。</w:t>
      </w:r>
    </w:p>
    <w:p>
      <w:pPr>
        <w:spacing w:line="600" w:lineRule="exact"/>
        <w:ind w:firstLine="643" w:firstLineChars="200"/>
        <w:rPr>
          <w:rFonts w:eastAsia="楷体_GB2312"/>
          <w:b/>
          <w:bCs/>
          <w:kern w:val="0"/>
          <w:sz w:val="32"/>
          <w:szCs w:val="32"/>
        </w:rPr>
      </w:pPr>
      <w:r>
        <w:rPr>
          <w:rFonts w:eastAsia="楷体_GB2312"/>
          <w:b/>
          <w:bCs/>
          <w:kern w:val="0"/>
          <w:sz w:val="32"/>
          <w:szCs w:val="32"/>
        </w:rPr>
        <w:t>六、关于中国共产党焉耆回族自治县委员会社会工作部2025年一般公共预算基本支出情况说明</w:t>
      </w:r>
    </w:p>
    <w:p>
      <w:pPr>
        <w:spacing w:line="600" w:lineRule="exact"/>
        <w:ind w:firstLine="616" w:firstLineChars="200"/>
        <w:rPr>
          <w:rFonts w:eastAsia="仿宋_GB2312"/>
          <w:kern w:val="0"/>
          <w:sz w:val="32"/>
          <w:szCs w:val="32"/>
        </w:rPr>
      </w:pPr>
      <w:r>
        <w:rPr>
          <w:rFonts w:eastAsia="仿宋_GB2312"/>
          <w:spacing w:val="-6"/>
          <w:kern w:val="0"/>
          <w:sz w:val="32"/>
          <w:szCs w:val="32"/>
        </w:rPr>
        <w:t>中国共产党焉耆回族自治县委员会社会工作部2025年一般公共预算基本支出167.36万元，其中：</w:t>
      </w:r>
    </w:p>
    <w:p>
      <w:pPr>
        <w:spacing w:line="600" w:lineRule="exact"/>
        <w:ind w:firstLine="616" w:firstLineChars="200"/>
        <w:rPr>
          <w:rFonts w:eastAsia="仿宋_GB2312"/>
          <w:kern w:val="0"/>
          <w:sz w:val="32"/>
          <w:szCs w:val="32"/>
        </w:rPr>
      </w:pPr>
      <w:r>
        <w:rPr>
          <w:rFonts w:eastAsia="仿宋_GB2312"/>
          <w:spacing w:val="-6"/>
          <w:kern w:val="0"/>
          <w:sz w:val="32"/>
          <w:szCs w:val="32"/>
        </w:rPr>
        <w:t>人员经费159.98万元，主要包括:基本工资、津贴补贴、机关事业单位基本养老保险缴费、职业年金缴费、职工基本医疗保险缴费、公务员医疗补助缴费、其他社会保障缴费、住房公积金。</w:t>
      </w:r>
    </w:p>
    <w:p>
      <w:pPr>
        <w:spacing w:line="600" w:lineRule="exact"/>
        <w:ind w:firstLine="616" w:firstLineChars="200"/>
        <w:rPr>
          <w:rFonts w:eastAsia="仿宋_GB2312"/>
          <w:spacing w:val="-6"/>
          <w:kern w:val="0"/>
          <w:sz w:val="32"/>
          <w:szCs w:val="32"/>
        </w:rPr>
      </w:pPr>
      <w:r>
        <w:rPr>
          <w:rFonts w:eastAsia="仿宋_GB2312"/>
          <w:spacing w:val="-6"/>
          <w:kern w:val="0"/>
          <w:sz w:val="32"/>
          <w:szCs w:val="32"/>
        </w:rPr>
        <w:t>公用经费7.3</w:t>
      </w:r>
      <w:r>
        <w:rPr>
          <w:rFonts w:hint="eastAsia" w:eastAsia="仿宋_GB2312"/>
          <w:spacing w:val="-6"/>
          <w:kern w:val="0"/>
          <w:sz w:val="32"/>
          <w:szCs w:val="32"/>
        </w:rPr>
        <w:t>8</w:t>
      </w:r>
      <w:r>
        <w:rPr>
          <w:rFonts w:eastAsia="仿宋_GB2312"/>
          <w:spacing w:val="-6"/>
          <w:kern w:val="0"/>
          <w:sz w:val="32"/>
          <w:szCs w:val="32"/>
        </w:rPr>
        <w:t>万元，主要包括:办公费</w:t>
      </w:r>
      <w:r>
        <w:rPr>
          <w:rFonts w:hint="eastAsia" w:eastAsia="仿宋_GB2312"/>
          <w:spacing w:val="-6"/>
          <w:kern w:val="0"/>
          <w:sz w:val="32"/>
          <w:szCs w:val="32"/>
          <w:lang w:eastAsia="zh-CN"/>
        </w:rPr>
        <w:t>、</w:t>
      </w:r>
      <w:r>
        <w:rPr>
          <w:rFonts w:eastAsia="仿宋_GB2312"/>
          <w:spacing w:val="-6"/>
          <w:kern w:val="0"/>
          <w:sz w:val="32"/>
          <w:szCs w:val="32"/>
        </w:rPr>
        <w:t>印刷费、水费、电费、邮电费、取暖费、福利费、工会经费</w:t>
      </w:r>
      <w:r>
        <w:rPr>
          <w:rFonts w:eastAsia="仿宋_GB2312"/>
          <w:spacing w:val="-6"/>
          <w:kern w:val="0"/>
          <w:sz w:val="32"/>
          <w:szCs w:val="32"/>
        </w:rPr>
        <w:tab/>
      </w:r>
      <w:r>
        <w:rPr>
          <w:rFonts w:eastAsia="仿宋_GB2312"/>
          <w:spacing w:val="-6"/>
          <w:kern w:val="0"/>
          <w:sz w:val="32"/>
          <w:szCs w:val="32"/>
        </w:rPr>
        <w:t>、公务用车运行维护费。</w:t>
      </w:r>
    </w:p>
    <w:p>
      <w:pPr>
        <w:spacing w:line="600" w:lineRule="exact"/>
        <w:ind w:firstLine="643" w:firstLineChars="200"/>
        <w:rPr>
          <w:rFonts w:eastAsia="楷体_GB2312"/>
          <w:b/>
          <w:bCs/>
          <w:kern w:val="0"/>
          <w:sz w:val="32"/>
          <w:szCs w:val="32"/>
        </w:rPr>
      </w:pPr>
      <w:r>
        <w:rPr>
          <w:rFonts w:eastAsia="楷体_GB2312"/>
          <w:b/>
          <w:bCs/>
          <w:kern w:val="0"/>
          <w:sz w:val="32"/>
          <w:szCs w:val="32"/>
        </w:rPr>
        <w:t>七、关于中国共产党焉耆回族自治县委员会社会工作部2025年一般公共预算项目支出情况说明</w:t>
      </w:r>
    </w:p>
    <w:p>
      <w:pPr>
        <w:spacing w:line="600" w:lineRule="exact"/>
        <w:ind w:firstLine="640" w:firstLineChars="200"/>
        <w:rPr>
          <w:rFonts w:eastAsia="仿宋_GB2312"/>
          <w:kern w:val="0"/>
          <w:sz w:val="32"/>
          <w:szCs w:val="32"/>
        </w:rPr>
      </w:pPr>
      <w:r>
        <w:rPr>
          <w:rFonts w:eastAsia="仿宋_GB2312"/>
          <w:kern w:val="0"/>
          <w:sz w:val="32"/>
          <w:szCs w:val="32"/>
        </w:rPr>
        <w:t>中国共产党焉耆回族自治县委员会社会工作部2025年没有使用一般公共预算项目支出，一般公共预算项目支出情况表为空表。</w:t>
      </w:r>
    </w:p>
    <w:p>
      <w:pPr>
        <w:spacing w:line="600" w:lineRule="exact"/>
        <w:ind w:firstLine="643" w:firstLineChars="200"/>
        <w:rPr>
          <w:rFonts w:hint="eastAsia" w:eastAsia="楷体_GB2312"/>
          <w:b/>
          <w:bCs/>
          <w:kern w:val="0"/>
          <w:sz w:val="32"/>
          <w:szCs w:val="32"/>
          <w:lang w:eastAsia="zh-CN"/>
        </w:rPr>
      </w:pPr>
      <w:r>
        <w:rPr>
          <w:rFonts w:eastAsia="楷体_GB2312"/>
          <w:b/>
          <w:bCs/>
          <w:kern w:val="0"/>
          <w:sz w:val="32"/>
          <w:szCs w:val="32"/>
        </w:rPr>
        <w:t>八、关于中国共产党焉耆回族自治县委员会社会工作部2025年政府性基金预算支出情况</w:t>
      </w:r>
      <w:r>
        <w:rPr>
          <w:rFonts w:hint="eastAsia" w:eastAsia="楷体_GB2312"/>
          <w:b/>
          <w:bCs/>
          <w:kern w:val="0"/>
          <w:sz w:val="32"/>
          <w:szCs w:val="32"/>
          <w:lang w:eastAsia="zh-CN"/>
        </w:rPr>
        <w:t>说明</w:t>
      </w:r>
    </w:p>
    <w:p>
      <w:pPr>
        <w:spacing w:line="600" w:lineRule="exact"/>
        <w:ind w:firstLine="640" w:firstLineChars="200"/>
        <w:rPr>
          <w:rFonts w:eastAsia="仿宋_GB2312"/>
          <w:kern w:val="0"/>
          <w:sz w:val="32"/>
          <w:szCs w:val="32"/>
        </w:rPr>
      </w:pPr>
      <w:r>
        <w:rPr>
          <w:rFonts w:eastAsia="仿宋_GB2312"/>
          <w:kern w:val="0"/>
          <w:sz w:val="32"/>
          <w:szCs w:val="32"/>
        </w:rPr>
        <w:t>中国共产党焉耆回族自治县委员会社会工作部2025年没有使用政府性基金预算拨款安排的支出，政府性基金预算支出情况表为空表。</w:t>
      </w:r>
    </w:p>
    <w:p>
      <w:pPr>
        <w:spacing w:line="600" w:lineRule="exact"/>
        <w:ind w:firstLine="643" w:firstLineChars="200"/>
        <w:rPr>
          <w:rFonts w:eastAsia="楷体_GB2312"/>
          <w:b/>
          <w:bCs/>
          <w:kern w:val="0"/>
          <w:sz w:val="32"/>
          <w:szCs w:val="32"/>
        </w:rPr>
      </w:pPr>
      <w:r>
        <w:rPr>
          <w:rFonts w:eastAsia="楷体_GB2312"/>
          <w:b/>
          <w:bCs/>
          <w:kern w:val="0"/>
          <w:sz w:val="32"/>
          <w:szCs w:val="32"/>
        </w:rPr>
        <w:t>九、关于中国共产党焉耆回族自治县委员会社会工作部2025年国有资本经营预算拨款情况说明</w:t>
      </w:r>
    </w:p>
    <w:p>
      <w:pPr>
        <w:spacing w:line="600" w:lineRule="exact"/>
        <w:ind w:firstLine="640" w:firstLineChars="200"/>
        <w:rPr>
          <w:rFonts w:eastAsia="仿宋_GB2312"/>
          <w:kern w:val="0"/>
          <w:sz w:val="32"/>
          <w:szCs w:val="32"/>
        </w:rPr>
      </w:pPr>
      <w:r>
        <w:rPr>
          <w:rFonts w:eastAsia="仿宋_GB2312"/>
          <w:kern w:val="0"/>
          <w:sz w:val="32"/>
          <w:szCs w:val="32"/>
        </w:rPr>
        <w:t>中国共产党焉耆回族自治县委员会社会工作部202</w:t>
      </w:r>
      <w:r>
        <w:rPr>
          <w:rFonts w:hint="eastAsia" w:eastAsia="仿宋_GB2312"/>
          <w:kern w:val="0"/>
          <w:sz w:val="32"/>
          <w:szCs w:val="32"/>
          <w:lang w:val="en-US" w:eastAsia="zh-CN"/>
        </w:rPr>
        <w:t>5</w:t>
      </w:r>
      <w:r>
        <w:rPr>
          <w:rFonts w:eastAsia="仿宋_GB2312"/>
          <w:kern w:val="0"/>
          <w:sz w:val="32"/>
          <w:szCs w:val="32"/>
        </w:rPr>
        <w:t>年没有使用国有资本经营预算拨款安排的支出，国有资本经营预算支出情况表为空表。</w:t>
      </w:r>
    </w:p>
    <w:p>
      <w:pPr>
        <w:spacing w:line="600" w:lineRule="exact"/>
        <w:ind w:firstLine="643" w:firstLineChars="200"/>
        <w:rPr>
          <w:rFonts w:eastAsia="楷体_GB2312"/>
          <w:b/>
          <w:bCs/>
          <w:kern w:val="0"/>
          <w:sz w:val="32"/>
          <w:szCs w:val="32"/>
        </w:rPr>
      </w:pPr>
      <w:r>
        <w:rPr>
          <w:rFonts w:eastAsia="楷体_GB2312"/>
          <w:b/>
          <w:bCs/>
          <w:kern w:val="0"/>
          <w:sz w:val="32"/>
          <w:szCs w:val="32"/>
        </w:rPr>
        <w:t>十、关于中国共产党焉耆回族自治县委员会社会工作部2025年财政拨款“三公”经费预算情况说明</w:t>
      </w:r>
    </w:p>
    <w:p>
      <w:pPr>
        <w:spacing w:line="600" w:lineRule="exact"/>
        <w:ind w:firstLine="640" w:firstLineChars="200"/>
        <w:rPr>
          <w:rFonts w:hint="eastAsia" w:eastAsia="仿宋_GB2312"/>
          <w:kern w:val="0"/>
          <w:sz w:val="32"/>
          <w:szCs w:val="32"/>
          <w:lang w:val="en-US" w:eastAsia="zh-CN"/>
        </w:rPr>
      </w:pPr>
      <w:r>
        <w:rPr>
          <w:rFonts w:eastAsia="仿宋_GB2312"/>
          <w:kern w:val="0"/>
          <w:sz w:val="32"/>
          <w:szCs w:val="32"/>
        </w:rPr>
        <w:t>中国共产党焉耆回族自治县委员会社会工作部2025年财政拨款“三公”经费数为1.2万元，其中：因公出国（境）费0万元,公务用车购置费0万元</w:t>
      </w:r>
      <w:r>
        <w:rPr>
          <w:rFonts w:hint="eastAsia" w:eastAsia="仿宋_GB2312"/>
          <w:kern w:val="0"/>
          <w:sz w:val="32"/>
          <w:szCs w:val="32"/>
          <w:lang w:eastAsia="zh-CN"/>
        </w:rPr>
        <w:t>，公</w:t>
      </w:r>
      <w:r>
        <w:rPr>
          <w:rFonts w:eastAsia="仿宋_GB2312"/>
          <w:kern w:val="0"/>
          <w:sz w:val="32"/>
          <w:szCs w:val="32"/>
        </w:rPr>
        <w:t>务用车运行费1.2万元</w:t>
      </w:r>
      <w:r>
        <w:rPr>
          <w:rFonts w:hint="eastAsia" w:eastAsia="仿宋_GB2312"/>
          <w:kern w:val="0"/>
          <w:sz w:val="32"/>
          <w:szCs w:val="32"/>
          <w:lang w:eastAsia="zh-CN"/>
        </w:rPr>
        <w:t>，</w:t>
      </w:r>
      <w:r>
        <w:rPr>
          <w:rFonts w:eastAsia="仿宋_GB2312"/>
          <w:kern w:val="0"/>
          <w:sz w:val="32"/>
          <w:szCs w:val="32"/>
        </w:rPr>
        <w:t>公务接待费0万元</w:t>
      </w:r>
      <w:r>
        <w:rPr>
          <w:rFonts w:hint="eastAsia" w:eastAsia="仿宋_GB2312"/>
          <w:kern w:val="0"/>
          <w:sz w:val="32"/>
          <w:szCs w:val="32"/>
          <w:lang w:eastAsia="zh-CN"/>
        </w:rPr>
        <w:t>。</w:t>
      </w:r>
    </w:p>
    <w:p>
      <w:pPr>
        <w:spacing w:line="600" w:lineRule="exact"/>
        <w:ind w:firstLine="640" w:firstLineChars="200"/>
        <w:rPr>
          <w:rFonts w:hint="eastAsia" w:eastAsia="仿宋_GB2312"/>
          <w:kern w:val="0"/>
          <w:sz w:val="32"/>
          <w:szCs w:val="32"/>
          <w:lang w:eastAsia="zh-CN"/>
        </w:rPr>
      </w:pPr>
      <w:r>
        <w:rPr>
          <w:rFonts w:eastAsia="仿宋_GB2312"/>
          <w:kern w:val="0"/>
          <w:sz w:val="32"/>
          <w:szCs w:val="32"/>
        </w:rPr>
        <w:t>2025年财政拨款“三公”经费比上年增加1.2万元，增长100%,其中：因公出国（境）费增加0万元，增长0%,主要原因是：</w:t>
      </w:r>
      <w:bookmarkStart w:id="0" w:name="_Hlk192157635"/>
      <w:r>
        <w:rPr>
          <w:rFonts w:hint="eastAsia" w:eastAsia="仿宋_GB2312"/>
          <w:kern w:val="0"/>
          <w:sz w:val="32"/>
          <w:szCs w:val="32"/>
        </w:rPr>
        <w:t>本年度未安排预算</w:t>
      </w:r>
      <w:bookmarkEnd w:id="0"/>
      <w:r>
        <w:rPr>
          <w:rFonts w:eastAsia="仿宋_GB2312"/>
          <w:kern w:val="0"/>
          <w:sz w:val="32"/>
          <w:szCs w:val="32"/>
        </w:rPr>
        <w:t>；公务用车购置费增加0万元，增长0%,主要原因是：</w:t>
      </w:r>
      <w:r>
        <w:rPr>
          <w:rFonts w:hint="eastAsia" w:eastAsia="仿宋_GB2312"/>
          <w:kern w:val="0"/>
          <w:sz w:val="32"/>
          <w:szCs w:val="32"/>
        </w:rPr>
        <w:t>本年度未安排预算</w:t>
      </w:r>
      <w:r>
        <w:rPr>
          <w:rFonts w:eastAsia="仿宋_GB2312"/>
          <w:kern w:val="0"/>
          <w:sz w:val="32"/>
          <w:szCs w:val="32"/>
        </w:rPr>
        <w:t>；公务用车运行费增加1.2万元，增长100%,主要原因是：本单位是2025年新增预算单位；公务接待费增加0万元，增长0%,主要原因是：</w:t>
      </w:r>
      <w:r>
        <w:rPr>
          <w:rFonts w:hint="eastAsia" w:eastAsia="仿宋_GB2312"/>
          <w:kern w:val="0"/>
          <w:sz w:val="32"/>
          <w:szCs w:val="32"/>
        </w:rPr>
        <w:t>本年度未安排预算</w:t>
      </w:r>
      <w:r>
        <w:rPr>
          <w:rFonts w:hint="eastAsia" w:eastAsia="仿宋_GB2312"/>
          <w:kern w:val="0"/>
          <w:sz w:val="32"/>
          <w:szCs w:val="32"/>
          <w:lang w:eastAsia="zh-CN"/>
        </w:rPr>
        <w:t>。</w:t>
      </w:r>
    </w:p>
    <w:p>
      <w:pPr>
        <w:spacing w:line="600" w:lineRule="exact"/>
        <w:ind w:firstLine="643" w:firstLineChars="200"/>
        <w:rPr>
          <w:rFonts w:eastAsia="仿宋_GB2312"/>
          <w:b/>
          <w:kern w:val="0"/>
          <w:sz w:val="32"/>
          <w:szCs w:val="32"/>
        </w:rPr>
      </w:pPr>
      <w:r>
        <w:rPr>
          <w:rFonts w:eastAsia="楷体_GB2312"/>
          <w:b/>
          <w:bCs/>
          <w:kern w:val="0"/>
          <w:sz w:val="32"/>
          <w:szCs w:val="32"/>
        </w:rPr>
        <w:t>十一、关于中国共产党焉耆回族自治县委员会社会工作部2025年上年结转结余预算情况说明</w:t>
      </w:r>
    </w:p>
    <w:p>
      <w:pPr>
        <w:spacing w:line="600" w:lineRule="exact"/>
        <w:ind w:firstLine="640" w:firstLineChars="200"/>
        <w:rPr>
          <w:rFonts w:eastAsia="仿宋_GB2312"/>
          <w:kern w:val="0"/>
          <w:sz w:val="32"/>
          <w:szCs w:val="32"/>
        </w:rPr>
      </w:pPr>
      <w:r>
        <w:rPr>
          <w:rFonts w:eastAsia="仿宋_GB2312"/>
          <w:kern w:val="0"/>
          <w:sz w:val="32"/>
          <w:szCs w:val="32"/>
        </w:rPr>
        <w:t>中国共产党焉耆回族自治县委员会社会工作部2025年没有上年结转结余预算的支出，上年结转结余情况明细表为空表。</w:t>
      </w:r>
    </w:p>
    <w:p>
      <w:pPr>
        <w:pStyle w:val="2"/>
      </w:pPr>
    </w:p>
    <w:p>
      <w:pPr>
        <w:spacing w:line="600" w:lineRule="exact"/>
        <w:ind w:firstLine="643" w:firstLineChars="200"/>
        <w:rPr>
          <w:rFonts w:eastAsia="楷体_GB2312"/>
          <w:b/>
          <w:bCs/>
          <w:kern w:val="0"/>
          <w:sz w:val="32"/>
          <w:szCs w:val="32"/>
        </w:rPr>
      </w:pPr>
      <w:r>
        <w:rPr>
          <w:rFonts w:eastAsia="楷体_GB2312"/>
          <w:b/>
          <w:bCs/>
          <w:kern w:val="0"/>
          <w:sz w:val="32"/>
          <w:szCs w:val="32"/>
        </w:rPr>
        <w:t>十二、其他重要事项的情况说明</w:t>
      </w:r>
    </w:p>
    <w:p>
      <w:pPr>
        <w:spacing w:line="600" w:lineRule="exact"/>
        <w:ind w:firstLine="643" w:firstLineChars="200"/>
        <w:rPr>
          <w:rFonts w:eastAsia="仿宋_GB2312"/>
          <w:kern w:val="0"/>
          <w:sz w:val="32"/>
          <w:szCs w:val="32"/>
        </w:rPr>
      </w:pPr>
      <w:r>
        <w:rPr>
          <w:rFonts w:eastAsia="仿宋_GB2312"/>
          <w:b/>
          <w:kern w:val="0"/>
          <w:sz w:val="32"/>
          <w:szCs w:val="32"/>
        </w:rPr>
        <w:t>（一）单位运行经费情况</w:t>
      </w:r>
    </w:p>
    <w:p>
      <w:pPr>
        <w:spacing w:line="600" w:lineRule="exact"/>
        <w:ind w:firstLine="640" w:firstLineChars="200"/>
        <w:rPr>
          <w:rFonts w:eastAsia="仿宋_GB2312"/>
          <w:kern w:val="0"/>
          <w:sz w:val="32"/>
          <w:szCs w:val="32"/>
        </w:rPr>
      </w:pPr>
      <w:r>
        <w:rPr>
          <w:rFonts w:eastAsia="仿宋_GB2312"/>
          <w:kern w:val="0"/>
          <w:sz w:val="32"/>
          <w:szCs w:val="32"/>
        </w:rPr>
        <w:t>中国共产党焉耆回族自治县委员会社会工作部2025年的机关运行经费财政拨款预算7.38万元，比上年预算增加7.38万元，增长100%。主要原因是：本单位是2025年新增预算单位。</w:t>
      </w:r>
    </w:p>
    <w:p>
      <w:pPr>
        <w:spacing w:line="600" w:lineRule="exact"/>
        <w:ind w:firstLine="643" w:firstLineChars="200"/>
        <w:rPr>
          <w:rFonts w:eastAsia="仿宋_GB2312"/>
          <w:b/>
          <w:kern w:val="0"/>
          <w:sz w:val="32"/>
          <w:szCs w:val="32"/>
        </w:rPr>
      </w:pPr>
      <w:r>
        <w:rPr>
          <w:rFonts w:eastAsia="仿宋_GB2312"/>
          <w:b/>
          <w:kern w:val="0"/>
          <w:sz w:val="32"/>
          <w:szCs w:val="32"/>
        </w:rPr>
        <w:t>（二）政府采购情况</w:t>
      </w:r>
    </w:p>
    <w:p>
      <w:pPr>
        <w:spacing w:line="600" w:lineRule="exact"/>
        <w:ind w:firstLine="640" w:firstLineChars="200"/>
        <w:rPr>
          <w:rFonts w:eastAsia="仿宋_GB2312"/>
          <w:kern w:val="0"/>
          <w:sz w:val="32"/>
          <w:szCs w:val="32"/>
        </w:rPr>
      </w:pPr>
      <w:r>
        <w:rPr>
          <w:rFonts w:eastAsia="仿宋_GB2312"/>
          <w:kern w:val="0"/>
          <w:sz w:val="32"/>
          <w:szCs w:val="32"/>
        </w:rPr>
        <w:t>2025年，中国共产党焉耆回族自治县委员会社会工作部政府采购预算1.8</w:t>
      </w:r>
      <w:r>
        <w:rPr>
          <w:rFonts w:hint="eastAsia" w:eastAsia="仿宋_GB2312"/>
          <w:kern w:val="0"/>
          <w:sz w:val="32"/>
          <w:szCs w:val="32"/>
          <w:lang w:val="en-US" w:eastAsia="zh-CN"/>
        </w:rPr>
        <w:t>9</w:t>
      </w:r>
      <w:r>
        <w:rPr>
          <w:rFonts w:eastAsia="仿宋_GB2312"/>
          <w:kern w:val="0"/>
          <w:sz w:val="32"/>
          <w:szCs w:val="32"/>
        </w:rPr>
        <w:t>万元，其中：政府采购货物预算1.2</w:t>
      </w:r>
      <w:r>
        <w:rPr>
          <w:rFonts w:hint="eastAsia" w:eastAsia="仿宋_GB2312"/>
          <w:kern w:val="0"/>
          <w:sz w:val="32"/>
          <w:szCs w:val="32"/>
          <w:lang w:val="en-US" w:eastAsia="zh-CN"/>
        </w:rPr>
        <w:t>9</w:t>
      </w:r>
      <w:r>
        <w:rPr>
          <w:rFonts w:eastAsia="仿宋_GB2312"/>
          <w:kern w:val="0"/>
          <w:sz w:val="32"/>
          <w:szCs w:val="32"/>
        </w:rPr>
        <w:t>万元，政府采购工程预算0万元，政府采购服务预算0.6万元。</w:t>
      </w:r>
    </w:p>
    <w:p>
      <w:pPr>
        <w:spacing w:line="600" w:lineRule="exact"/>
        <w:ind w:firstLine="640" w:firstLineChars="200"/>
        <w:rPr>
          <w:rFonts w:eastAsia="仿宋_GB2312"/>
          <w:kern w:val="0"/>
          <w:sz w:val="32"/>
          <w:szCs w:val="32"/>
        </w:rPr>
      </w:pPr>
      <w:r>
        <w:rPr>
          <w:rFonts w:eastAsia="仿宋_GB2312"/>
          <w:kern w:val="0"/>
          <w:sz w:val="32"/>
          <w:szCs w:val="32"/>
        </w:rPr>
        <w:t>2025年，中国共产党焉耆回族自治县委员会社会工作部面向中小企业预留政府采购项目预算金额1.8</w:t>
      </w:r>
      <w:r>
        <w:rPr>
          <w:rFonts w:hint="eastAsia" w:eastAsia="仿宋_GB2312"/>
          <w:kern w:val="0"/>
          <w:sz w:val="32"/>
          <w:szCs w:val="32"/>
          <w:lang w:val="en-US" w:eastAsia="zh-CN"/>
        </w:rPr>
        <w:t>9</w:t>
      </w:r>
      <w:r>
        <w:rPr>
          <w:rFonts w:eastAsia="仿宋_GB2312"/>
          <w:kern w:val="0"/>
          <w:sz w:val="32"/>
          <w:szCs w:val="32"/>
        </w:rPr>
        <w:t>万元，小微企业预留政府采购项目预算金额1.8</w:t>
      </w:r>
      <w:r>
        <w:rPr>
          <w:rFonts w:hint="eastAsia" w:eastAsia="仿宋_GB2312"/>
          <w:kern w:val="0"/>
          <w:sz w:val="32"/>
          <w:szCs w:val="32"/>
          <w:lang w:val="en-US" w:eastAsia="zh-CN"/>
        </w:rPr>
        <w:t>9</w:t>
      </w:r>
      <w:r>
        <w:rPr>
          <w:rFonts w:eastAsia="仿宋_GB2312"/>
          <w:kern w:val="0"/>
          <w:sz w:val="32"/>
          <w:szCs w:val="32"/>
        </w:rPr>
        <w:t>万元。</w:t>
      </w:r>
    </w:p>
    <w:p>
      <w:pPr>
        <w:spacing w:line="600" w:lineRule="exact"/>
        <w:ind w:firstLine="643" w:firstLineChars="200"/>
        <w:rPr>
          <w:rFonts w:eastAsia="仿宋_GB2312"/>
          <w:b/>
          <w:kern w:val="0"/>
          <w:sz w:val="32"/>
          <w:szCs w:val="32"/>
        </w:rPr>
      </w:pPr>
      <w:r>
        <w:rPr>
          <w:rFonts w:eastAsia="仿宋_GB2312"/>
          <w:b/>
          <w:kern w:val="0"/>
          <w:sz w:val="32"/>
          <w:szCs w:val="32"/>
        </w:rPr>
        <w:t>（三）国有资产占用使用情况</w:t>
      </w:r>
    </w:p>
    <w:p>
      <w:pPr>
        <w:spacing w:line="600" w:lineRule="exact"/>
        <w:ind w:firstLine="640" w:firstLineChars="200"/>
        <w:rPr>
          <w:rFonts w:eastAsia="仿宋_GB2312"/>
          <w:kern w:val="0"/>
          <w:sz w:val="32"/>
          <w:szCs w:val="32"/>
        </w:rPr>
      </w:pPr>
      <w:r>
        <w:rPr>
          <w:rFonts w:eastAsia="仿宋_GB2312"/>
          <w:kern w:val="0"/>
          <w:sz w:val="32"/>
          <w:szCs w:val="32"/>
        </w:rPr>
        <w:t>截至2024年底，中国共产党焉耆回族自治县委员会社会工作部及下属各预算单位占用使用国有资产总体情况为：</w:t>
      </w:r>
    </w:p>
    <w:p>
      <w:pPr>
        <w:spacing w:line="600" w:lineRule="exact"/>
        <w:ind w:firstLine="640" w:firstLineChars="200"/>
        <w:rPr>
          <w:rFonts w:eastAsia="仿宋_GB2312"/>
          <w:kern w:val="0"/>
          <w:sz w:val="32"/>
          <w:szCs w:val="32"/>
        </w:rPr>
      </w:pPr>
      <w:r>
        <w:rPr>
          <w:rFonts w:eastAsia="仿宋_GB2312"/>
          <w:kern w:val="0"/>
          <w:sz w:val="32"/>
          <w:szCs w:val="32"/>
        </w:rPr>
        <w:t>1.房屋0平方米，价值0万元。</w:t>
      </w:r>
    </w:p>
    <w:p>
      <w:pPr>
        <w:spacing w:line="600" w:lineRule="exact"/>
        <w:ind w:firstLine="640" w:firstLineChars="200"/>
        <w:rPr>
          <w:rFonts w:eastAsia="仿宋_GB2312"/>
          <w:kern w:val="0"/>
          <w:sz w:val="32"/>
          <w:szCs w:val="32"/>
        </w:rPr>
      </w:pPr>
      <w:r>
        <w:rPr>
          <w:rFonts w:eastAsia="仿宋_GB2312"/>
          <w:kern w:val="0"/>
          <w:sz w:val="32"/>
          <w:szCs w:val="32"/>
        </w:rPr>
        <w:t>2.车辆0辆，价值0万元。其中：一般公务用车0辆，价值0万元，执法执勤用车0辆，价值0万元，其他用车0辆，价值0万元，</w:t>
      </w:r>
    </w:p>
    <w:p>
      <w:pPr>
        <w:spacing w:line="600" w:lineRule="exact"/>
        <w:ind w:firstLine="640" w:firstLineChars="200"/>
        <w:rPr>
          <w:rFonts w:eastAsia="仿宋_GB2312"/>
          <w:kern w:val="0"/>
          <w:sz w:val="32"/>
          <w:szCs w:val="32"/>
        </w:rPr>
      </w:pPr>
      <w:r>
        <w:rPr>
          <w:rFonts w:eastAsia="仿宋_GB2312"/>
          <w:kern w:val="0"/>
          <w:sz w:val="32"/>
          <w:szCs w:val="32"/>
        </w:rPr>
        <w:t>3.办公家具价值0万元。</w:t>
      </w:r>
    </w:p>
    <w:p>
      <w:pPr>
        <w:spacing w:line="600" w:lineRule="exact"/>
        <w:ind w:firstLine="640" w:firstLineChars="200"/>
        <w:rPr>
          <w:rFonts w:eastAsia="仿宋_GB2312"/>
          <w:kern w:val="0"/>
          <w:sz w:val="32"/>
          <w:szCs w:val="32"/>
        </w:rPr>
      </w:pPr>
      <w:r>
        <w:rPr>
          <w:rFonts w:eastAsia="仿宋_GB2312"/>
          <w:kern w:val="0"/>
          <w:sz w:val="32"/>
          <w:szCs w:val="32"/>
        </w:rPr>
        <w:t>4.其他资产价值0万元。</w:t>
      </w:r>
    </w:p>
    <w:p>
      <w:pPr>
        <w:spacing w:line="600" w:lineRule="exact"/>
        <w:ind w:firstLine="640" w:firstLineChars="200"/>
        <w:rPr>
          <w:rFonts w:eastAsia="仿宋_GB2312"/>
          <w:kern w:val="0"/>
          <w:sz w:val="32"/>
          <w:szCs w:val="32"/>
        </w:rPr>
      </w:pPr>
      <w:r>
        <w:rPr>
          <w:rFonts w:eastAsia="仿宋_GB2312"/>
          <w:kern w:val="0"/>
          <w:sz w:val="32"/>
          <w:szCs w:val="32"/>
        </w:rPr>
        <w:t>单位价值50万元以上大型设备0台，单位价值100万元以上大型设备0台。</w:t>
      </w:r>
    </w:p>
    <w:p>
      <w:pPr>
        <w:spacing w:line="600" w:lineRule="exact"/>
        <w:ind w:firstLine="640" w:firstLineChars="200"/>
        <w:rPr>
          <w:rFonts w:eastAsia="仿宋_GB2312"/>
          <w:kern w:val="0"/>
          <w:sz w:val="32"/>
          <w:szCs w:val="32"/>
        </w:rPr>
      </w:pPr>
      <w:r>
        <w:rPr>
          <w:rFonts w:eastAsia="仿宋_GB2312"/>
          <w:kern w:val="0"/>
          <w:sz w:val="32"/>
          <w:szCs w:val="32"/>
        </w:rPr>
        <w:t>2025年单位预算未购置车辆经费,安排购置50万元以上大型设备0台，单位价值100万元以上大型设备0台。</w:t>
      </w:r>
    </w:p>
    <w:p>
      <w:pPr>
        <w:spacing w:line="600" w:lineRule="exact"/>
        <w:ind w:firstLine="643" w:firstLineChars="200"/>
        <w:rPr>
          <w:rFonts w:eastAsia="仿宋_GB2312"/>
          <w:kern w:val="0"/>
          <w:sz w:val="32"/>
          <w:szCs w:val="32"/>
        </w:rPr>
      </w:pPr>
      <w:r>
        <w:rPr>
          <w:rFonts w:eastAsia="仿宋_GB2312"/>
          <w:b/>
          <w:kern w:val="0"/>
          <w:sz w:val="32"/>
          <w:szCs w:val="32"/>
        </w:rPr>
        <w:t>（四）预算绩效情况</w:t>
      </w:r>
    </w:p>
    <w:p>
      <w:pPr>
        <w:spacing w:line="600" w:lineRule="exact"/>
        <w:ind w:firstLine="640" w:firstLineChars="200"/>
        <w:rPr>
          <w:rFonts w:eastAsia="仿宋_GB2312"/>
          <w:kern w:val="0"/>
          <w:sz w:val="32"/>
          <w:szCs w:val="32"/>
        </w:rPr>
      </w:pPr>
      <w:r>
        <w:rPr>
          <w:rFonts w:eastAsia="仿宋_GB2312"/>
          <w:kern w:val="0"/>
          <w:sz w:val="32"/>
          <w:szCs w:val="32"/>
        </w:rPr>
        <w:t>2025年，本</w:t>
      </w:r>
      <w:r>
        <w:rPr>
          <w:rFonts w:hint="eastAsia" w:eastAsia="仿宋_GB2312"/>
          <w:kern w:val="0"/>
          <w:sz w:val="32"/>
          <w:szCs w:val="32"/>
        </w:rPr>
        <w:t>单位</w:t>
      </w:r>
      <w:r>
        <w:rPr>
          <w:rFonts w:eastAsia="仿宋_GB2312"/>
          <w:kern w:val="0"/>
          <w:sz w:val="32"/>
          <w:szCs w:val="32"/>
        </w:rPr>
        <w:t>预算绩效管理整体预算绩效目标1个，涉及预算金额167.36万元；当年预算安排项目共0个，其中:财政拨款项目涉及预算金额0万元；非财政拨款项目涉及预算金额0万元。具体情况见下表</w:t>
      </w:r>
      <w:r>
        <w:rPr>
          <w:rFonts w:hint="eastAsia"/>
          <w:sz w:val="32"/>
          <w:szCs w:val="32"/>
        </w:rPr>
        <w:t>（按项目分别填报）</w:t>
      </w:r>
      <w:r>
        <w:rPr>
          <w:rFonts w:eastAsia="仿宋_GB2312"/>
          <w:kern w:val="0"/>
          <w:sz w:val="32"/>
          <w:szCs w:val="32"/>
        </w:rPr>
        <w:t xml:space="preserve">：  </w:t>
      </w:r>
    </w:p>
    <w:p>
      <w:pPr>
        <w:spacing w:line="600" w:lineRule="exact"/>
        <w:ind w:firstLine="640" w:firstLineChars="200"/>
        <w:rPr>
          <w:rFonts w:eastAsia="仿宋_GB2312"/>
          <w:kern w:val="0"/>
          <w:sz w:val="32"/>
          <w:szCs w:val="32"/>
        </w:rPr>
      </w:pPr>
    </w:p>
    <w:p>
      <w:pPr>
        <w:spacing w:line="600" w:lineRule="exact"/>
        <w:ind w:firstLine="640" w:firstLineChars="200"/>
        <w:rPr>
          <w:rFonts w:eastAsia="仿宋_GB2312"/>
          <w:kern w:val="0"/>
          <w:sz w:val="32"/>
          <w:szCs w:val="32"/>
        </w:rPr>
      </w:pPr>
    </w:p>
    <w:p>
      <w:pPr>
        <w:spacing w:line="600" w:lineRule="exact"/>
        <w:ind w:firstLine="640" w:firstLineChars="200"/>
        <w:rPr>
          <w:rFonts w:eastAsia="仿宋_GB2312"/>
          <w:kern w:val="0"/>
          <w:sz w:val="32"/>
          <w:szCs w:val="32"/>
        </w:rPr>
      </w:pPr>
    </w:p>
    <w:tbl>
      <w:tblPr>
        <w:tblStyle w:val="12"/>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259"/>
        <w:gridCol w:w="2107"/>
        <w:gridCol w:w="1213"/>
        <w:gridCol w:w="1830"/>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vAlign w:val="center"/>
          </w:tcPr>
          <w:p>
            <w:pPr>
              <w:widowControl/>
              <w:textAlignment w:val="center"/>
              <w:rPr>
                <w:rFonts w:hint="eastAsia" w:ascii="仿宋_GB2312" w:hAnsi="宋体" w:eastAsia="仿宋_GB2312" w:cs="仿宋_GB2312"/>
                <w:b/>
                <w:color w:val="000000"/>
                <w:kern w:val="0"/>
                <w:sz w:val="32"/>
                <w:szCs w:val="32"/>
              </w:rPr>
            </w:pPr>
          </w:p>
          <w:p>
            <w:pPr>
              <w:widowControl/>
              <w:jc w:val="center"/>
              <w:textAlignment w:val="center"/>
              <w:rPr>
                <w:rFonts w:hint="eastAsia" w:ascii="仿宋_GB2312" w:hAnsi="宋体" w:eastAsia="仿宋_GB2312" w:cs="仿宋_GB2312"/>
                <w:b/>
                <w:color w:val="000000"/>
                <w:kern w:val="0"/>
                <w:sz w:val="32"/>
                <w:szCs w:val="32"/>
              </w:rPr>
            </w:pPr>
            <w:r>
              <w:rPr>
                <w:rFonts w:hint="eastAsia" w:ascii="仿宋_GB2312" w:hAnsi="宋体" w:eastAsia="仿宋_GB2312" w:cs="仿宋_GB2312"/>
                <w:b/>
                <w:color w:val="000000"/>
                <w:kern w:val="0"/>
                <w:sz w:val="32"/>
                <w:szCs w:val="32"/>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vAlign w:val="center"/>
          </w:tcPr>
          <w:p>
            <w:pPr>
              <w:widowControl/>
              <w:jc w:val="center"/>
              <w:textAlignment w:val="center"/>
              <w:rPr>
                <w:rFonts w:hint="eastAsia" w:ascii="仿宋_GB2312" w:hAnsi="宋体" w:eastAsia="仿宋_GB2312" w:cs="仿宋_GB2312"/>
                <w:b/>
                <w:color w:val="000000"/>
                <w:kern w:val="0"/>
                <w:sz w:val="32"/>
                <w:szCs w:val="32"/>
              </w:rPr>
            </w:pPr>
            <w:r>
              <w:rPr>
                <w:rFonts w:hint="eastAsia" w:ascii="宋体" w:hAnsi="宋体" w:cs="宋体"/>
                <w:color w:val="000000"/>
                <w:sz w:val="24"/>
              </w:rPr>
              <w:t>（2025年）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3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单位名称</w:t>
            </w:r>
          </w:p>
        </w:tc>
        <w:tc>
          <w:tcPr>
            <w:tcW w:w="6959"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中国共产党焉耆回族自治县委员会社会工作部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238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单位联系人</w:t>
            </w:r>
          </w:p>
        </w:tc>
        <w:tc>
          <w:tcPr>
            <w:tcW w:w="33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张文静</w:t>
            </w:r>
          </w:p>
        </w:tc>
        <w:tc>
          <w:tcPr>
            <w:tcW w:w="183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联系电话：</w:t>
            </w:r>
          </w:p>
        </w:tc>
        <w:tc>
          <w:tcPr>
            <w:tcW w:w="1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15699341531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381" w:type="dxa"/>
            <w:gridSpan w:val="2"/>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br w:type="textWrapping"/>
            </w:r>
          </w:p>
          <w:p>
            <w:pPr>
              <w:widowControl/>
              <w:jc w:val="center"/>
              <w:textAlignment w:val="center"/>
              <w:rPr>
                <w:rFonts w:hint="eastAsia" w:ascii="宋体" w:hAnsi="宋体" w:cs="宋体"/>
                <w:color w:val="000000"/>
                <w:kern w:val="0"/>
                <w:sz w:val="21"/>
                <w:szCs w:val="21"/>
              </w:rPr>
            </w:pPr>
          </w:p>
          <w:p>
            <w:pPr>
              <w:widowControl/>
              <w:jc w:val="center"/>
              <w:textAlignment w:val="center"/>
              <w:rPr>
                <w:rFonts w:hint="eastAsia" w:ascii="宋体" w:hAnsi="宋体" w:eastAsia="宋体" w:cs="宋体"/>
                <w:color w:val="000000"/>
                <w:kern w:val="0"/>
                <w:sz w:val="21"/>
                <w:szCs w:val="21"/>
              </w:rPr>
            </w:pPr>
          </w:p>
          <w:p>
            <w:pPr>
              <w:widowControl/>
              <w:jc w:val="center"/>
              <w:textAlignment w:val="center"/>
              <w:rPr>
                <w:rFonts w:hint="eastAsia" w:ascii="宋体" w:hAnsi="宋体" w:cs="宋体"/>
                <w:color w:val="000000"/>
                <w:kern w:val="0"/>
                <w:sz w:val="21"/>
                <w:szCs w:val="21"/>
              </w:rPr>
            </w:pPr>
            <w:r>
              <w:rPr>
                <w:rFonts w:hint="eastAsia" w:ascii="宋体" w:hAnsi="宋体" w:eastAsia="宋体" w:cs="宋体"/>
                <w:color w:val="000000"/>
                <w:kern w:val="0"/>
                <w:sz w:val="21"/>
                <w:szCs w:val="21"/>
              </w:rPr>
              <w:t>年度绩效目标</w:t>
            </w:r>
          </w:p>
        </w:tc>
        <w:tc>
          <w:tcPr>
            <w:tcW w:w="6959" w:type="dxa"/>
            <w:gridSpan w:val="4"/>
            <w:tcBorders>
              <w:top w:val="single" w:color="000000" w:sz="4" w:space="0"/>
              <w:left w:val="single" w:color="000000" w:sz="4" w:space="0"/>
              <w:bottom w:val="single" w:color="000000" w:sz="4" w:space="0"/>
              <w:right w:val="single" w:color="000000" w:sz="4" w:space="0"/>
            </w:tcBorders>
            <w:vAlign w:val="center"/>
          </w:tcPr>
          <w:p>
            <w:pPr>
              <w:widowControl/>
              <w:ind w:firstLine="420" w:firstLineChars="200"/>
              <w:jc w:val="left"/>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坚持和发展新时代“枫桥经验”，学习运用好“四下基层”制度，加强典型案例征集，建立党建引领基层治理观察联系点，做好规范村级组织工作事务、机制牌子、证明事项情况摸底自纠自查工作。加大业务学习，积极开展信访工作示范县创建活动，开展“人民满意窗口服务”工作，提升接访窗口干部作风和化解效率。</w:t>
            </w:r>
          </w:p>
          <w:p>
            <w:pPr>
              <w:widowControl/>
              <w:ind w:firstLine="420" w:firstLineChars="200"/>
              <w:jc w:val="left"/>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贯彻落实中央、自治区、自治州印发的相关文件要求，推动新业态、新就业群体底数摸排工作，有针对性的研究工作措施；探索建立线上企业服务平台，大力推进惠企政策、助企服务到市场进园区。</w:t>
            </w:r>
          </w:p>
          <w:p>
            <w:pPr>
              <w:widowControl/>
              <w:jc w:val="left"/>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积极开展社区工作者专业技能培训、建立培训基地，提高社会工作者的专业素养和服务能力；推动社会人才队伍建设与志愿服务项目深度融合。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238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年度预算（万元）</w:t>
            </w:r>
          </w:p>
        </w:tc>
        <w:tc>
          <w:tcPr>
            <w:tcW w:w="332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资金来源</w:t>
            </w:r>
          </w:p>
        </w:tc>
        <w:tc>
          <w:tcPr>
            <w:tcW w:w="36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trPr>
        <w:tc>
          <w:tcPr>
            <w:tcW w:w="238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p>
        </w:tc>
        <w:tc>
          <w:tcPr>
            <w:tcW w:w="2107"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财政资金（万元）</w:t>
            </w: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上级安排</w:t>
            </w:r>
          </w:p>
        </w:tc>
        <w:tc>
          <w:tcPr>
            <w:tcW w:w="36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5" w:hRule="atLeast"/>
        </w:trPr>
        <w:tc>
          <w:tcPr>
            <w:tcW w:w="238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p>
        </w:tc>
        <w:tc>
          <w:tcPr>
            <w:tcW w:w="2107"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本级安排</w:t>
            </w:r>
          </w:p>
        </w:tc>
        <w:tc>
          <w:tcPr>
            <w:tcW w:w="36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167.36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2381" w:type="dxa"/>
            <w:gridSpan w:val="2"/>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其他资金（万元）</w:t>
            </w: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其他</w:t>
            </w:r>
          </w:p>
        </w:tc>
        <w:tc>
          <w:tcPr>
            <w:tcW w:w="36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cs="宋体"/>
                <w:color w:val="000000"/>
                <w:kern w:val="0"/>
                <w:sz w:val="21"/>
                <w:szCs w:val="21"/>
              </w:rPr>
            </w:pPr>
            <w:r>
              <w:rPr>
                <w:rFonts w:hint="eastAsia" w:ascii="宋体" w:hAnsi="宋体" w:cs="宋体"/>
                <w:color w:val="000000"/>
                <w:kern w:val="0"/>
                <w:sz w:val="21"/>
                <w:szCs w:val="21"/>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7" w:hRule="atLeast"/>
        </w:trPr>
        <w:tc>
          <w:tcPr>
            <w:tcW w:w="1122"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一级指标</w:t>
            </w:r>
          </w:p>
        </w:tc>
        <w:tc>
          <w:tcPr>
            <w:tcW w:w="125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二级指标</w:t>
            </w:r>
          </w:p>
        </w:tc>
        <w:tc>
          <w:tcPr>
            <w:tcW w:w="2107"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三级指标</w:t>
            </w:r>
          </w:p>
        </w:tc>
        <w:tc>
          <w:tcPr>
            <w:tcW w:w="1213"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指标值</w:t>
            </w:r>
          </w:p>
        </w:tc>
        <w:tc>
          <w:tcPr>
            <w:tcW w:w="1830"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指标设定依据</w:t>
            </w:r>
          </w:p>
        </w:tc>
        <w:tc>
          <w:tcPr>
            <w:tcW w:w="18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Theme="majorEastAsia" w:hAnsiTheme="majorEastAsia" w:eastAsiaTheme="majorEastAsia" w:cstheme="majorEastAsia"/>
                <w:color w:val="000000"/>
                <w:kern w:val="0"/>
                <w:sz w:val="21"/>
                <w:szCs w:val="21"/>
              </w:rPr>
            </w:pPr>
            <w:r>
              <w:rPr>
                <w:rFonts w:hint="eastAsia" w:asciiTheme="majorEastAsia" w:hAnsiTheme="majorEastAsia" w:eastAsiaTheme="majorEastAsia" w:cstheme="majorEastAsia"/>
                <w:color w:val="000000"/>
                <w:kern w:val="0"/>
                <w:sz w:val="21"/>
                <w:szCs w:val="21"/>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7" w:hRule="atLeast"/>
        </w:trPr>
        <w:tc>
          <w:tcPr>
            <w:tcW w:w="1122" w:type="dxa"/>
            <w:vMerge w:val="restart"/>
            <w:tcBorders>
              <w:top w:val="single" w:color="auto" w:sz="4" w:space="0"/>
              <w:left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履职效能</w:t>
            </w:r>
          </w:p>
        </w:tc>
        <w:tc>
          <w:tcPr>
            <w:tcW w:w="1259" w:type="dxa"/>
            <w:tcBorders>
              <w:top w:val="single" w:color="auto"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数量指标</w:t>
            </w:r>
          </w:p>
        </w:tc>
        <w:tc>
          <w:tcPr>
            <w:tcW w:w="2107" w:type="dxa"/>
            <w:tcBorders>
              <w:top w:val="single" w:color="auto" w:sz="4" w:space="0"/>
              <w:left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志愿服务活动次数</w:t>
            </w:r>
          </w:p>
        </w:tc>
        <w:tc>
          <w:tcPr>
            <w:tcW w:w="1213" w:type="dxa"/>
            <w:tcBorders>
              <w:top w:val="single" w:color="auto" w:sz="4" w:space="0"/>
              <w:left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&gt;=</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次</w:t>
            </w:r>
          </w:p>
        </w:tc>
        <w:tc>
          <w:tcPr>
            <w:tcW w:w="1830" w:type="dxa"/>
            <w:tcBorders>
              <w:top w:val="single" w:color="auto" w:sz="4" w:space="0"/>
              <w:left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年工作计划</w:t>
            </w:r>
          </w:p>
        </w:tc>
        <w:tc>
          <w:tcPr>
            <w:tcW w:w="180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6" w:hRule="atLeast"/>
        </w:trPr>
        <w:tc>
          <w:tcPr>
            <w:tcW w:w="1122" w:type="dxa"/>
            <w:vMerge w:val="continue"/>
            <w:tcBorders>
              <w:left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p>
        </w:tc>
        <w:tc>
          <w:tcPr>
            <w:tcW w:w="1259" w:type="dxa"/>
            <w:tcBorders>
              <w:top w:val="single" w:color="000000" w:sz="4" w:space="0"/>
              <w:left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数量指标</w:t>
            </w:r>
          </w:p>
        </w:tc>
        <w:tc>
          <w:tcPr>
            <w:tcW w:w="2107"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“三新”领域“三支队伍”党务工作培训班次</w:t>
            </w:r>
          </w:p>
        </w:tc>
        <w:tc>
          <w:tcPr>
            <w:tcW w:w="1213" w:type="dxa"/>
            <w:tcBorders>
              <w:top w:val="single" w:color="000000" w:sz="4" w:space="0"/>
              <w:left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&gt;=</w:t>
            </w:r>
            <w:r>
              <w:rPr>
                <w:rFonts w:hint="eastAsia" w:ascii="宋体" w:hAnsi="宋体" w:eastAsia="宋体" w:cs="宋体"/>
                <w:color w:val="000000"/>
                <w:kern w:val="0"/>
                <w:sz w:val="20"/>
                <w:szCs w:val="20"/>
                <w:lang w:val="en-US" w:eastAsia="zh-CN"/>
              </w:rPr>
              <w:t>2次</w:t>
            </w:r>
          </w:p>
        </w:tc>
        <w:tc>
          <w:tcPr>
            <w:tcW w:w="1830" w:type="dxa"/>
            <w:tcBorders>
              <w:top w:val="single" w:color="000000" w:sz="4" w:space="0"/>
              <w:left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年工作计划</w:t>
            </w:r>
          </w:p>
        </w:tc>
        <w:tc>
          <w:tcPr>
            <w:tcW w:w="180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22" w:type="dxa"/>
            <w:vMerge w:val="continue"/>
            <w:tcBorders>
              <w:left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数量指标</w:t>
            </w: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指导党建引领基层治理观察联系点次数</w:t>
            </w: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rPr>
              <w:t>&gt;=</w:t>
            </w:r>
            <w:r>
              <w:rPr>
                <w:rFonts w:hint="eastAsia" w:ascii="宋体" w:hAnsi="宋体" w:eastAsia="宋体" w:cs="宋体"/>
                <w:color w:val="000000"/>
                <w:kern w:val="0"/>
                <w:sz w:val="20"/>
                <w:szCs w:val="20"/>
                <w:lang w:val="en-US" w:eastAsia="zh-CN"/>
              </w:rPr>
              <w:t>2次</w:t>
            </w:r>
          </w:p>
        </w:tc>
        <w:tc>
          <w:tcPr>
            <w:tcW w:w="183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年工作计划</w:t>
            </w:r>
          </w:p>
        </w:tc>
        <w:tc>
          <w:tcPr>
            <w:tcW w:w="180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22" w:type="dxa"/>
            <w:tcBorders>
              <w:left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p>
        </w:tc>
        <w:tc>
          <w:tcPr>
            <w:tcW w:w="125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数量指标</w:t>
            </w:r>
          </w:p>
        </w:tc>
        <w:tc>
          <w:tcPr>
            <w:tcW w:w="210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社区工作者培训班次</w:t>
            </w:r>
          </w:p>
        </w:tc>
        <w:tc>
          <w:tcPr>
            <w:tcW w:w="1213"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rPr>
              <w:t>&gt;=</w:t>
            </w:r>
            <w:r>
              <w:rPr>
                <w:rFonts w:hint="eastAsia" w:ascii="宋体" w:hAnsi="宋体" w:eastAsia="宋体" w:cs="宋体"/>
                <w:color w:val="000000"/>
                <w:kern w:val="0"/>
                <w:sz w:val="20"/>
                <w:szCs w:val="20"/>
                <w:lang w:val="en-US" w:eastAsia="zh-CN"/>
              </w:rPr>
              <w:t>1次</w:t>
            </w:r>
          </w:p>
        </w:tc>
        <w:tc>
          <w:tcPr>
            <w:tcW w:w="1830" w:type="dxa"/>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年工作计划</w:t>
            </w:r>
          </w:p>
        </w:tc>
        <w:tc>
          <w:tcPr>
            <w:tcW w:w="180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6" w:hRule="atLeast"/>
        </w:trPr>
        <w:tc>
          <w:tcPr>
            <w:tcW w:w="1122" w:type="dxa"/>
            <w:tcBorders>
              <w:left w:val="single" w:color="auto"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rPr>
            </w:pPr>
          </w:p>
        </w:tc>
        <w:tc>
          <w:tcPr>
            <w:tcW w:w="1259"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质量指标</w:t>
            </w:r>
          </w:p>
        </w:tc>
        <w:tc>
          <w:tcPr>
            <w:tcW w:w="2107"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eastAsia" w:ascii="宋体" w:hAnsi="宋体" w:eastAsia="宋体" w:cs="宋体"/>
                <w:color w:val="000000"/>
                <w:kern w:val="0"/>
                <w:sz w:val="20"/>
                <w:szCs w:val="20"/>
                <w:lang w:eastAsia="zh-CN"/>
              </w:rPr>
            </w:pPr>
            <w:r>
              <w:rPr>
                <w:rFonts w:hint="eastAsia" w:ascii="宋体" w:hAnsi="宋体" w:eastAsia="宋体" w:cs="宋体"/>
                <w:color w:val="000000"/>
                <w:kern w:val="0"/>
                <w:sz w:val="20"/>
                <w:szCs w:val="20"/>
                <w:lang w:eastAsia="zh-CN"/>
              </w:rPr>
              <w:t>信访案件受理率</w:t>
            </w:r>
          </w:p>
        </w:tc>
        <w:tc>
          <w:tcPr>
            <w:tcW w:w="1213"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=100%</w:t>
            </w:r>
          </w:p>
        </w:tc>
        <w:tc>
          <w:tcPr>
            <w:tcW w:w="1830" w:type="dxa"/>
            <w:tcBorders>
              <w:top w:val="single" w:color="000000" w:sz="4" w:space="0"/>
              <w:left w:val="single" w:color="000000" w:sz="4" w:space="0"/>
              <w:bottom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202</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年工作计划</w:t>
            </w:r>
          </w:p>
        </w:tc>
        <w:tc>
          <w:tcPr>
            <w:tcW w:w="1809"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20</w:t>
            </w:r>
          </w:p>
        </w:tc>
      </w:tr>
    </w:tbl>
    <w:p>
      <w:pPr>
        <w:spacing w:line="600" w:lineRule="exact"/>
        <w:ind w:firstLine="643" w:firstLineChars="200"/>
        <w:rPr>
          <w:rFonts w:hint="eastAsia" w:ascii="楷体_GB2312" w:hAnsi="宋体" w:eastAsia="楷体_GB2312" w:cs="宋体"/>
          <w:b/>
          <w:kern w:val="0"/>
          <w:sz w:val="32"/>
          <w:szCs w:val="32"/>
        </w:rPr>
      </w:pPr>
      <w:r>
        <w:rPr>
          <w:rFonts w:hint="eastAsia" w:ascii="楷体_GB2312" w:hAnsi="宋体" w:eastAsia="楷体_GB2312" w:cs="宋体"/>
          <w:b/>
          <w:kern w:val="0"/>
          <w:sz w:val="32"/>
          <w:szCs w:val="32"/>
        </w:rPr>
        <w:t>（五）其他需说明的事项</w:t>
      </w:r>
    </w:p>
    <w:p>
      <w:pPr>
        <w:spacing w:line="600" w:lineRule="exact"/>
        <w:ind w:firstLine="640" w:firstLineChars="200"/>
        <w:jc w:val="left"/>
        <w:rPr>
          <w:rFonts w:hint="eastAsia" w:ascii="黑体" w:hAnsi="黑体" w:eastAsia="仿宋_GB2312"/>
          <w:kern w:val="0"/>
          <w:sz w:val="32"/>
          <w:szCs w:val="32"/>
          <w:lang w:eastAsia="zh-CN"/>
        </w:rPr>
      </w:pPr>
      <w:r>
        <w:rPr>
          <w:rFonts w:hint="eastAsia" w:ascii="仿宋_GB2312" w:hAnsi="宋体" w:eastAsia="仿宋_GB2312" w:cs="宋体"/>
          <w:kern w:val="0"/>
          <w:sz w:val="32"/>
          <w:szCs w:val="32"/>
        </w:rPr>
        <w:t>本单位无其他</w:t>
      </w:r>
      <w:r>
        <w:rPr>
          <w:rFonts w:hint="eastAsia" w:ascii="仿宋_GB2312" w:hAnsi="宋体" w:eastAsia="仿宋_GB2312" w:cs="宋体"/>
          <w:kern w:val="0"/>
          <w:sz w:val="32"/>
          <w:szCs w:val="32"/>
          <w:lang w:eastAsia="zh-CN"/>
        </w:rPr>
        <w:t>需</w:t>
      </w:r>
      <w:bookmarkStart w:id="1" w:name="_GoBack"/>
      <w:bookmarkEnd w:id="1"/>
      <w:r>
        <w:rPr>
          <w:rFonts w:hint="eastAsia" w:ascii="仿宋_GB2312" w:hAnsi="宋体" w:eastAsia="仿宋_GB2312" w:cs="宋体"/>
          <w:kern w:val="0"/>
          <w:sz w:val="32"/>
          <w:szCs w:val="32"/>
        </w:rPr>
        <w:t>说明的事项</w:t>
      </w:r>
      <w:r>
        <w:rPr>
          <w:rFonts w:hint="eastAsia" w:ascii="仿宋_GB2312" w:hAnsi="宋体" w:eastAsia="仿宋_GB2312" w:cs="宋体"/>
          <w:kern w:val="0"/>
          <w:sz w:val="32"/>
          <w:szCs w:val="32"/>
          <w:lang w:eastAsia="zh-CN"/>
        </w:rPr>
        <w:t>。</w:t>
      </w:r>
    </w:p>
    <w:p>
      <w:pPr>
        <w:rPr>
          <w:rFonts w:hint="eastAsia" w:ascii="黑体" w:hAnsi="黑体" w:eastAsia="黑体"/>
          <w:kern w:val="0"/>
          <w:sz w:val="32"/>
          <w:szCs w:val="32"/>
        </w:rPr>
      </w:pPr>
      <w:r>
        <w:br w:type="page"/>
      </w:r>
    </w:p>
    <w:p>
      <w:pPr>
        <w:spacing w:line="600" w:lineRule="exact"/>
        <w:jc w:val="center"/>
        <w:rPr>
          <w:rFonts w:hint="eastAsia" w:ascii="黑体" w:hAnsi="黑体" w:eastAsia="黑体"/>
          <w:kern w:val="0"/>
          <w:sz w:val="32"/>
          <w:szCs w:val="32"/>
        </w:rPr>
      </w:pPr>
      <w:r>
        <w:rPr>
          <w:rFonts w:hint="eastAsia" w:ascii="黑体" w:hAnsi="黑体" w:eastAsia="黑体"/>
          <w:kern w:val="0"/>
          <w:sz w:val="32"/>
          <w:szCs w:val="32"/>
        </w:rPr>
        <w:t>第四部分  名词解释</w:t>
      </w:r>
    </w:p>
    <w:p>
      <w:pPr>
        <w:spacing w:line="600" w:lineRule="exact"/>
        <w:ind w:firstLine="640" w:firstLineChars="200"/>
        <w:rPr>
          <w:rFonts w:hint="eastAsia" w:ascii="黑体" w:hAnsi="黑体" w:eastAsia="黑体"/>
          <w:sz w:val="32"/>
          <w:szCs w:val="32"/>
        </w:rPr>
      </w:pP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一、财政拨款：</w:t>
      </w:r>
      <w:r>
        <w:rPr>
          <w:rFonts w:hint="eastAsia" w:ascii="仿宋_GB2312" w:eastAsia="仿宋_GB2312"/>
          <w:sz w:val="32"/>
          <w:szCs w:val="32"/>
        </w:rPr>
        <w:t>指由一般公共预算、政府性基金预算、国有资本经营预算安排的财政拨款数。</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二、一般公共预算：</w:t>
      </w:r>
      <w:r>
        <w:rPr>
          <w:rFonts w:hint="eastAsia" w:ascii="仿宋_GB2312" w:eastAsia="仿宋_GB2312"/>
          <w:spacing w:val="-6"/>
          <w:sz w:val="32"/>
          <w:szCs w:val="32"/>
        </w:rPr>
        <w:t>包括公共财政拨款（补助）资金、专项收入。</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三、财政专户管理资金：</w:t>
      </w:r>
      <w:r>
        <w:rPr>
          <w:rFonts w:hint="eastAsia" w:ascii="仿宋_GB2312" w:eastAsia="仿宋_GB2312"/>
          <w:sz w:val="32"/>
          <w:szCs w:val="32"/>
        </w:rPr>
        <w:t>包括专户管理行政事业性收费（主要是教育收费）、其他非税收入。</w:t>
      </w:r>
    </w:p>
    <w:p>
      <w:pPr>
        <w:spacing w:line="600" w:lineRule="exact"/>
        <w:ind w:firstLine="643" w:firstLineChars="200"/>
        <w:rPr>
          <w:rFonts w:ascii="仿宋_GB2312" w:eastAsia="仿宋_GB2312"/>
          <w:spacing w:val="-17"/>
          <w:sz w:val="32"/>
          <w:szCs w:val="32"/>
        </w:rPr>
      </w:pPr>
      <w:r>
        <w:rPr>
          <w:rFonts w:hint="eastAsia" w:ascii="楷体_GB2312" w:hAnsi="楷体_GB2312" w:eastAsia="楷体_GB2312" w:cs="楷体_GB2312"/>
          <w:b/>
          <w:bCs/>
          <w:sz w:val="32"/>
          <w:szCs w:val="32"/>
        </w:rPr>
        <w:t>四、其他资金：</w:t>
      </w:r>
      <w:r>
        <w:rPr>
          <w:rFonts w:hint="eastAsia" w:ascii="仿宋_GB2312" w:eastAsia="仿宋_GB2312"/>
          <w:spacing w:val="-17"/>
          <w:sz w:val="32"/>
          <w:szCs w:val="32"/>
        </w:rPr>
        <w:t>包括事业收入、事业经营收入、其他收入等。</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五、基本支出：</w:t>
      </w:r>
      <w:r>
        <w:rPr>
          <w:rFonts w:hint="eastAsia" w:ascii="仿宋_GB2312" w:eastAsia="仿宋_GB2312"/>
          <w:sz w:val="32"/>
          <w:szCs w:val="32"/>
        </w:rPr>
        <w:t>包括人员经费、公用经费（定额）。其中，人员经费包括工资福利支出、对个人和家庭的补助。</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六、项目支出：</w:t>
      </w:r>
      <w:r>
        <w:rPr>
          <w:rFonts w:hint="eastAsia" w:ascii="仿宋_GB2312" w:eastAsia="仿宋_GB2312"/>
          <w:sz w:val="32"/>
          <w:szCs w:val="32"/>
        </w:rPr>
        <w:t>单位支出预算的组成部分，是各单位为完成其特定的行政任务或事业发展目标，在基本支出预算之外编制的年度项目支出计划。</w:t>
      </w:r>
    </w:p>
    <w:p>
      <w:pPr>
        <w:spacing w:line="600" w:lineRule="exact"/>
        <w:ind w:firstLine="643" w:firstLineChars="200"/>
        <w:rPr>
          <w:rFonts w:ascii="仿宋_GB2312" w:eastAsia="仿宋_GB2312"/>
          <w:sz w:val="32"/>
          <w:szCs w:val="32"/>
        </w:rPr>
      </w:pPr>
      <w:r>
        <w:rPr>
          <w:rFonts w:hint="eastAsia" w:ascii="楷体_GB2312" w:hAnsi="楷体_GB2312" w:eastAsia="楷体_GB2312" w:cs="楷体_GB2312"/>
          <w:b/>
          <w:bCs/>
          <w:sz w:val="32"/>
          <w:szCs w:val="32"/>
        </w:rPr>
        <w:t>七、“三公”经费：</w:t>
      </w:r>
      <w:r>
        <w:rPr>
          <w:rFonts w:hint="eastAsia" w:ascii="仿宋_GB2312" w:eastAsia="仿宋_GB2312"/>
          <w:sz w:val="32"/>
          <w:szCs w:val="32"/>
        </w:rPr>
        <w:t>指单位因公出国（境）费、公务用车购置及运行维护费和公务接待费，其中：因公出国（境）费反映机关和参公事业单位公务出国（境）的国际旅费、国外城市间交通费、住宿费、伙食费、培训费、公杂费等支出；公务用车购置反映机关和参公事业单位公务用车购置支出（含车辆购置税、牌照费）；公务用车运行维护费反映机关和参公事业单位按规定保留的公务用车燃料费、新能源汽车充电费、维修费、过桥过路费、保险费、安全奖励费用等支出；公务接待费反映机关和参公事业单位按规定开支的各类公务接待（含外宾接待）费用。</w:t>
      </w:r>
    </w:p>
    <w:p>
      <w:pPr>
        <w:spacing w:line="600" w:lineRule="exact"/>
        <w:ind w:firstLine="643" w:firstLineChars="200"/>
        <w:rPr>
          <w:rFonts w:ascii="仿宋_GB2312" w:eastAsia="仿宋_GB2312"/>
          <w:spacing w:val="-11"/>
          <w:sz w:val="32"/>
          <w:szCs w:val="32"/>
        </w:rPr>
      </w:pPr>
      <w:r>
        <w:rPr>
          <w:rFonts w:hint="eastAsia" w:ascii="楷体_GB2312" w:hAnsi="楷体_GB2312" w:eastAsia="楷体_GB2312" w:cs="楷体_GB2312"/>
          <w:b/>
          <w:bCs/>
          <w:sz w:val="32"/>
          <w:szCs w:val="32"/>
        </w:rPr>
        <w:t>八、机关运行经费</w:t>
      </w:r>
      <w:r>
        <w:rPr>
          <w:rFonts w:hint="eastAsia" w:ascii="仿宋_GB2312" w:eastAsia="仿宋_GB2312"/>
          <w:sz w:val="32"/>
          <w:szCs w:val="32"/>
        </w:rPr>
        <w:t>：指行政单位（含参照公务员法管理事业单位）的公用经费，包括办公及印刷费、邮电费、差旅费、会议费、福利费、日常维修费、专用材料及一般设备购置费、办公用房水电费、办公用房</w:t>
      </w:r>
      <w:r>
        <w:rPr>
          <w:rFonts w:hint="eastAsia" w:ascii="仿宋_GB2312" w:eastAsia="仿宋_GB2312"/>
          <w:spacing w:val="-11"/>
          <w:sz w:val="32"/>
          <w:szCs w:val="32"/>
        </w:rPr>
        <w:t>取暖费、办公用房物业管理费、公务用车运行维护费及其他费用。</w:t>
      </w:r>
    </w:p>
    <w:p>
      <w:pPr>
        <w:spacing w:line="600" w:lineRule="exact"/>
        <w:ind w:firstLine="640" w:firstLineChars="200"/>
        <w:rPr>
          <w:rFonts w:hint="eastAsia" w:ascii="仿宋_GB2312" w:hAnsi="宋体" w:eastAsia="仿宋_GB2312" w:cs="宋体"/>
          <w:kern w:val="0"/>
          <w:sz w:val="32"/>
          <w:szCs w:val="32"/>
        </w:rPr>
      </w:pPr>
    </w:p>
    <w:p>
      <w:pPr>
        <w:spacing w:line="600" w:lineRule="exact"/>
        <w:ind w:firstLine="640" w:firstLineChars="200"/>
        <w:rPr>
          <w:rFonts w:hint="eastAsia" w:ascii="仿宋_GB2312" w:hAnsi="宋体" w:eastAsia="仿宋_GB2312" w:cs="宋体"/>
          <w:kern w:val="0"/>
          <w:sz w:val="32"/>
          <w:szCs w:val="32"/>
        </w:rPr>
      </w:pPr>
    </w:p>
    <w:p>
      <w:pPr>
        <w:spacing w:line="600" w:lineRule="exact"/>
        <w:ind w:firstLine="640" w:firstLineChars="200"/>
        <w:rPr>
          <w:rFonts w:hint="eastAsia" w:ascii="仿宋_GB2312" w:hAnsi="宋体" w:eastAsia="仿宋_GB2312" w:cs="宋体"/>
          <w:kern w:val="0"/>
          <w:sz w:val="32"/>
          <w:szCs w:val="32"/>
        </w:rPr>
      </w:pPr>
    </w:p>
    <w:p>
      <w:pPr>
        <w:spacing w:line="600" w:lineRule="exact"/>
        <w:ind w:firstLine="640" w:firstLineChars="200"/>
        <w:jc w:val="right"/>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中国共产党焉耆回族自治县委员会社会工作部</w:t>
      </w:r>
    </w:p>
    <w:p>
      <w:pPr>
        <w:rPr>
          <w:rFonts w:eastAsia="仿宋_GB2312"/>
        </w:rPr>
      </w:pPr>
      <w:r>
        <w:rPr>
          <w:rFonts w:hint="eastAsia" w:ascii="仿宋_GB2312" w:hAnsi="宋体" w:eastAsia="仿宋_GB2312" w:cs="宋体"/>
          <w:kern w:val="0"/>
          <w:sz w:val="32"/>
          <w:szCs w:val="32"/>
        </w:rPr>
        <w:t xml:space="preserve">                      2025年2月20日</w:t>
      </w:r>
    </w:p>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Lucida Sans">
    <w:altName w:val="Lucida Sans Unicode"/>
    <w:panose1 w:val="020B0602030504020204"/>
    <w:charset w:val="00"/>
    <w:family w:val="auto"/>
    <w:pitch w:val="default"/>
    <w:sig w:usb0="00000000" w:usb1="00000000" w:usb2="00000000" w:usb3="00000000" w:csb0="20000001" w:csb1="00000000"/>
  </w:font>
  <w:font w:name="方正仿宋_GBK">
    <w:panose1 w:val="03000509000000000000"/>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微软雅黑">
    <w:panose1 w:val="020B0503020204020204"/>
    <w:charset w:val="86"/>
    <w:family w:val="auto"/>
    <w:pitch w:val="default"/>
    <w:sig w:usb0="80000287" w:usb1="280F3C52" w:usb2="00000016" w:usb3="00000000" w:csb0="0004001F" w:csb1="00000000"/>
  </w:font>
  <w:font w:name="Cambria">
    <w:panose1 w:val="02040503050406030204"/>
    <w:charset w:val="00"/>
    <w:family w:val="auto"/>
    <w:pitch w:val="default"/>
    <w:sig w:usb0="E00002FF" w:usb1="400004FF" w:usb2="00000000" w:usb3="00000000" w:csb0="2000019F"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hint="eastAsia"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88900" cy="230505"/>
              <wp:effectExtent l="0" t="0" r="0" b="0"/>
              <wp:wrapNone/>
              <wp:docPr id="1" name="_x0000_s0005"/>
              <wp:cNvGraphicFramePr/>
              <a:graphic xmlns:a="http://schemas.openxmlformats.org/drawingml/2006/main">
                <a:graphicData uri="http://schemas.microsoft.com/office/word/2010/wordprocessingShape">
                  <wps:wsp>
                    <wps:cNvSpPr/>
                    <wps:spPr>
                      <a:xfrm>
                        <a:off x="0" y="0"/>
                        <a:ext cx="88900" cy="230251"/>
                      </a:xfrm>
                      <a:prstGeom prst="rect">
                        <a:avLst/>
                      </a:prstGeom>
                      <a:noFill/>
                      <a:ln w="9525" cap="flat" cmpd="sng">
                        <a:noFill/>
                        <a:prstDash val="solid"/>
                        <a:round/>
                      </a:ln>
                    </wps:spPr>
                    <wps:txbx>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vert="horz" wrap="none" lIns="0" tIns="0" rIns="0" bIns="0" anchor="t" anchorCtr="0" upright="0">
                      <a:spAutoFit/>
                    </wps:bodyPr>
                  </wps:wsp>
                </a:graphicData>
              </a:graphic>
            </wp:anchor>
          </w:drawing>
        </mc:Choice>
        <mc:Fallback>
          <w:pict>
            <v:rect id="_x0000_s0005" o:spid="_x0000_s1026" o:spt="1" style="position:absolute;left:0pt;margin-top:0pt;height:18.15pt;width:7pt;mso-position-horizontal:outside;mso-position-horizontal-relative:margin;mso-wrap-style:none;z-index:251659264;mso-width-relative:page;mso-height-relative:page;" filled="f" stroked="f" coordsize="21600,21600" o:gfxdata="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Ku3VdEAAAADAQAADwAAAAAAAAABACAAAAAiAAAAZHJzL2Rvd25yZXYueG1sUEsBAhQAFAAAAAgA&#10;h07iQEAvbY/zAQAA9AMAAA4AAAAAAAAAAQAgAAAAIAEAAGRycy9lMm9Eb2MueG1sUEsFBgAAAAAG&#10;AAYAWQEAAIUFAAAAAA==&#10;">
              <v:fill on="f" focussize="0,0"/>
              <v:stroke on="f" joinstyle="round"/>
              <v:imagedata o:title=""/>
              <o:lock v:ext="edit" aspectratio="f"/>
              <v:textbox inset="0mm,0mm,0mm,0mm" style="mso-fit-shape-to-text:t;">
                <w:txbxContent>
                  <w:p>
                    <w:pPr>
                      <w:pStyle w:val="8"/>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rect>
          </w:pict>
        </mc:Fallback>
      </mc:AlternateContent>
    </w: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300" cy="131445"/>
              <wp:effectExtent l="0" t="0" r="0" b="0"/>
              <wp:wrapNone/>
              <wp:docPr id="4" name="_x0000_s0006"/>
              <wp:cNvGraphicFramePr/>
              <a:graphic xmlns:a="http://schemas.openxmlformats.org/drawingml/2006/main">
                <a:graphicData uri="http://schemas.microsoft.com/office/word/2010/wordprocessingShape">
                  <wps:wsp>
                    <wps:cNvSpPr/>
                    <wps:spPr>
                      <a:xfrm>
                        <a:off x="0" y="0"/>
                        <a:ext cx="114300" cy="131559"/>
                      </a:xfrm>
                      <a:prstGeom prst="rect">
                        <a:avLst/>
                      </a:prstGeom>
                      <a:noFill/>
                      <a:ln w="9525" cap="flat" cmpd="sng">
                        <a:noFill/>
                        <a:prstDash val="solid"/>
                        <a:round/>
                      </a:ln>
                    </wps:spPr>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upright="0">
                      <a:spAutoFit/>
                    </wps:bodyPr>
                  </wps:wsp>
                </a:graphicData>
              </a:graphic>
            </wp:anchor>
          </w:drawing>
        </mc:Choice>
        <mc:Fallback>
          <w:pict>
            <v:rect id="_x0000_s0006" o:spid="_x0000_s1026" o:spt="1" style="position:absolute;left:0pt;margin-top:0pt;height:10.35pt;width:9pt;mso-position-horizontal:center;mso-position-horizontal-relative:margin;mso-wrap-style:none;z-index:251659264;mso-width-relative:page;mso-height-relative:page;" filled="f" stroked="f" coordsize="21600,21600" o:gfxdata="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1pF6s0AAAAAMBAAAPAAAAAAAAAAEAIAAAACIAAABkcnMvZG93bnJldi54bWxQSwECFAAUAAAA&#10;CACHTuJA1RdTSPYBAAD1AwAADgAAAAAAAAABACAAAAAfAQAAZHJzL2Uyb0RvYy54bWxQSwUGAAAA&#10;AAYABgBZAQAAhwUAAAAA&#10;">
              <v:fill on="f" focussize="0,0"/>
              <v:stroke on="f" joinstyle="round"/>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HorizontalSpacing w:val="90"/>
  <w:drawingGridVerticalSpacing w:val="156"/>
  <w:displayHorizontalDrawingGridEvery w:val="0"/>
  <w:displayVerticalDrawingGridEvery w:val="1"/>
  <w:noPunctuationKerning w:val="1"/>
  <w:characterSpacingControl w:val="compressPunctuation"/>
  <w:compat>
    <w:spaceForUL/>
    <w:balanceSingleByteDoubleByteWidth/>
    <w:ulTrailSpace/>
    <w:doNotExpandShiftReturn/>
    <w:adjustLineHeightInTable/>
    <w:useFELayout/>
    <w:doNotUseIndentAsNumberingTabStop/>
    <w:useAltKinsokuLineBreakRules/>
    <w:compatSetting w:name="compatibilityMode" w:uri="http://schemas.microsoft.com/office/word" w:val="14"/>
  </w:compat>
  <w:docVars>
    <w:docVar w:name="commondata" w:val="eyJoZGlkIjoiNGE0MThmYmM1NDUzNzQzNDI1NTUzMGFjNGY1MmJiNzMifQ=="/>
  </w:docVars>
  <w:rsids>
    <w:rsidRoot w:val="00000000"/>
    <w:rsid w:val="00A95F59"/>
    <w:rsid w:val="00B15E17"/>
    <w:rsid w:val="01675DE2"/>
    <w:rsid w:val="021D3BDF"/>
    <w:rsid w:val="02724D07"/>
    <w:rsid w:val="040561FA"/>
    <w:rsid w:val="047B44A1"/>
    <w:rsid w:val="05146FF5"/>
    <w:rsid w:val="05725B74"/>
    <w:rsid w:val="074B3CD4"/>
    <w:rsid w:val="099D51B6"/>
    <w:rsid w:val="0A1B1DE0"/>
    <w:rsid w:val="0AB21D69"/>
    <w:rsid w:val="0B1F665E"/>
    <w:rsid w:val="0B525131"/>
    <w:rsid w:val="0BC02BD5"/>
    <w:rsid w:val="0C040D41"/>
    <w:rsid w:val="0D00018B"/>
    <w:rsid w:val="0DBB1AD3"/>
    <w:rsid w:val="0DE33B1F"/>
    <w:rsid w:val="0DF9085D"/>
    <w:rsid w:val="0ED87790"/>
    <w:rsid w:val="115209A1"/>
    <w:rsid w:val="11C74340"/>
    <w:rsid w:val="11D22B91"/>
    <w:rsid w:val="11E059B1"/>
    <w:rsid w:val="13864CD0"/>
    <w:rsid w:val="13AB4CA3"/>
    <w:rsid w:val="146C556C"/>
    <w:rsid w:val="14E00D9F"/>
    <w:rsid w:val="152F0789"/>
    <w:rsid w:val="17126FFE"/>
    <w:rsid w:val="18DA40DD"/>
    <w:rsid w:val="195D0278"/>
    <w:rsid w:val="198F0D8C"/>
    <w:rsid w:val="1A417210"/>
    <w:rsid w:val="1A961D01"/>
    <w:rsid w:val="1CE24882"/>
    <w:rsid w:val="1CE674AD"/>
    <w:rsid w:val="1D61187A"/>
    <w:rsid w:val="1D7C440B"/>
    <w:rsid w:val="1DFD69D3"/>
    <w:rsid w:val="1F4359EE"/>
    <w:rsid w:val="2170043E"/>
    <w:rsid w:val="22B87587"/>
    <w:rsid w:val="22BC59E0"/>
    <w:rsid w:val="22DE507D"/>
    <w:rsid w:val="246E5BB2"/>
    <w:rsid w:val="24FC5C44"/>
    <w:rsid w:val="25D41751"/>
    <w:rsid w:val="25F83957"/>
    <w:rsid w:val="26F409E3"/>
    <w:rsid w:val="27ED1929"/>
    <w:rsid w:val="28033F9D"/>
    <w:rsid w:val="2ACA3C14"/>
    <w:rsid w:val="2CE93B04"/>
    <w:rsid w:val="2DB41BB0"/>
    <w:rsid w:val="2F086AD0"/>
    <w:rsid w:val="2F13361B"/>
    <w:rsid w:val="2F456CB8"/>
    <w:rsid w:val="2FA53E8F"/>
    <w:rsid w:val="308B0156"/>
    <w:rsid w:val="312B3270"/>
    <w:rsid w:val="31674A5A"/>
    <w:rsid w:val="32726A65"/>
    <w:rsid w:val="32871FA5"/>
    <w:rsid w:val="329E2D90"/>
    <w:rsid w:val="32C12EFF"/>
    <w:rsid w:val="32E653A3"/>
    <w:rsid w:val="336F1DBF"/>
    <w:rsid w:val="345B0B7B"/>
    <w:rsid w:val="34674FBC"/>
    <w:rsid w:val="357919A1"/>
    <w:rsid w:val="36096977"/>
    <w:rsid w:val="36E97B5F"/>
    <w:rsid w:val="39BA7E88"/>
    <w:rsid w:val="3AD04FCE"/>
    <w:rsid w:val="3DB86729"/>
    <w:rsid w:val="401E28AA"/>
    <w:rsid w:val="40A470AF"/>
    <w:rsid w:val="40E302B4"/>
    <w:rsid w:val="415A632E"/>
    <w:rsid w:val="427C2907"/>
    <w:rsid w:val="4292167D"/>
    <w:rsid w:val="42DD0865"/>
    <w:rsid w:val="42FD3689"/>
    <w:rsid w:val="43EF5291"/>
    <w:rsid w:val="44174253"/>
    <w:rsid w:val="4442674C"/>
    <w:rsid w:val="444D27E6"/>
    <w:rsid w:val="460E31EF"/>
    <w:rsid w:val="47356463"/>
    <w:rsid w:val="47606980"/>
    <w:rsid w:val="48E218D3"/>
    <w:rsid w:val="496F0D75"/>
    <w:rsid w:val="49AE6C38"/>
    <w:rsid w:val="4A5B3B87"/>
    <w:rsid w:val="4B14431F"/>
    <w:rsid w:val="4BA06E9A"/>
    <w:rsid w:val="4C784DAC"/>
    <w:rsid w:val="4D777A7F"/>
    <w:rsid w:val="4DD62AC6"/>
    <w:rsid w:val="4DE70046"/>
    <w:rsid w:val="4DEF2A3D"/>
    <w:rsid w:val="4ED63196"/>
    <w:rsid w:val="4FB017FD"/>
    <w:rsid w:val="4FB55B59"/>
    <w:rsid w:val="4FBE29A4"/>
    <w:rsid w:val="508C4F9D"/>
    <w:rsid w:val="509B061A"/>
    <w:rsid w:val="50F96A1C"/>
    <w:rsid w:val="53161F0B"/>
    <w:rsid w:val="531B7264"/>
    <w:rsid w:val="54AF19D9"/>
    <w:rsid w:val="551A0B42"/>
    <w:rsid w:val="557B63BC"/>
    <w:rsid w:val="562C2FFC"/>
    <w:rsid w:val="56B066EB"/>
    <w:rsid w:val="57843ACD"/>
    <w:rsid w:val="57A21135"/>
    <w:rsid w:val="58243D53"/>
    <w:rsid w:val="59EB7933"/>
    <w:rsid w:val="5A1F7D42"/>
    <w:rsid w:val="5B8E488D"/>
    <w:rsid w:val="5C7E4F0C"/>
    <w:rsid w:val="5C9B01A2"/>
    <w:rsid w:val="5CEA0687"/>
    <w:rsid w:val="5D3F4423"/>
    <w:rsid w:val="5D625923"/>
    <w:rsid w:val="5D732E7D"/>
    <w:rsid w:val="5FDA0BDC"/>
    <w:rsid w:val="613D50E5"/>
    <w:rsid w:val="614110C5"/>
    <w:rsid w:val="621069B9"/>
    <w:rsid w:val="63606691"/>
    <w:rsid w:val="63C821DE"/>
    <w:rsid w:val="63E97B40"/>
    <w:rsid w:val="64C42791"/>
    <w:rsid w:val="65587A57"/>
    <w:rsid w:val="66387285"/>
    <w:rsid w:val="66404E62"/>
    <w:rsid w:val="664A7D46"/>
    <w:rsid w:val="67D459BC"/>
    <w:rsid w:val="67D975C9"/>
    <w:rsid w:val="680B65DC"/>
    <w:rsid w:val="68277C9B"/>
    <w:rsid w:val="68CD0356"/>
    <w:rsid w:val="68D905DA"/>
    <w:rsid w:val="6A9223BD"/>
    <w:rsid w:val="6AA22FA8"/>
    <w:rsid w:val="6AC61B22"/>
    <w:rsid w:val="6ADD5D63"/>
    <w:rsid w:val="6B0955F0"/>
    <w:rsid w:val="6B620388"/>
    <w:rsid w:val="6D947E6A"/>
    <w:rsid w:val="6DEE7714"/>
    <w:rsid w:val="6E7B4976"/>
    <w:rsid w:val="6F1D35A0"/>
    <w:rsid w:val="6F266B69"/>
    <w:rsid w:val="6F296C0D"/>
    <w:rsid w:val="6F601B6E"/>
    <w:rsid w:val="70A161C3"/>
    <w:rsid w:val="70B26925"/>
    <w:rsid w:val="711C0B92"/>
    <w:rsid w:val="728A0701"/>
    <w:rsid w:val="72DA0732"/>
    <w:rsid w:val="73192607"/>
    <w:rsid w:val="7489082D"/>
    <w:rsid w:val="75434F43"/>
    <w:rsid w:val="75BC14BC"/>
    <w:rsid w:val="76B37B4A"/>
    <w:rsid w:val="773C3462"/>
    <w:rsid w:val="77772E63"/>
    <w:rsid w:val="778F0843"/>
    <w:rsid w:val="779978D6"/>
    <w:rsid w:val="77FC4C19"/>
    <w:rsid w:val="78C51544"/>
    <w:rsid w:val="79B4723F"/>
    <w:rsid w:val="7A150BD1"/>
    <w:rsid w:val="7CDB6F49"/>
    <w:rsid w:val="7D2579EB"/>
    <w:rsid w:val="7D77026F"/>
    <w:rsid w:val="7E154435"/>
    <w:rsid w:val="7EAF3898"/>
    <w:rsid w:val="7F204AA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Lucida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18"/>
      <w:szCs w:val="18"/>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qFormat/>
    <w:uiPriority w:val="0"/>
    <w:pPr>
      <w:keepNext/>
      <w:keepLines/>
      <w:spacing w:before="260" w:after="260" w:line="415" w:lineRule="auto"/>
      <w:outlineLvl w:val="1"/>
    </w:pPr>
    <w:rPr>
      <w:rFonts w:ascii="Times New Roman" w:hAnsi="Times New Roman" w:eastAsia="黑体"/>
      <w:b/>
      <w:bCs/>
      <w:sz w:val="32"/>
      <w:szCs w:val="32"/>
    </w:rPr>
  </w:style>
  <w:style w:type="paragraph" w:styleId="5">
    <w:name w:val="heading 3"/>
    <w:basedOn w:val="1"/>
    <w:next w:val="1"/>
    <w:qFormat/>
    <w:uiPriority w:val="0"/>
    <w:pPr>
      <w:keepNext/>
      <w:keepLines/>
      <w:widowControl w:val="0"/>
      <w:ind w:firstLine="200" w:firstLineChars="200"/>
      <w:outlineLvl w:val="2"/>
    </w:pPr>
    <w:rPr>
      <w:rFonts w:eastAsia="方正楷体简体"/>
      <w:b/>
      <w:bCs/>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note text"/>
    <w:basedOn w:val="1"/>
    <w:qFormat/>
    <w:uiPriority w:val="0"/>
    <w:pPr>
      <w:snapToGrid w:val="0"/>
      <w:jc w:val="left"/>
    </w:pPr>
  </w:style>
  <w:style w:type="paragraph" w:styleId="6">
    <w:name w:val="annotation text"/>
    <w:basedOn w:val="1"/>
    <w:qFormat/>
    <w:uiPriority w:val="0"/>
    <w:pPr>
      <w:jc w:val="left"/>
    </w:pPr>
  </w:style>
  <w:style w:type="paragraph" w:styleId="7">
    <w:name w:val="toc 3"/>
    <w:basedOn w:val="1"/>
    <w:next w:val="1"/>
    <w:qFormat/>
    <w:uiPriority w:val="0"/>
    <w:pPr>
      <w:ind w:left="400" w:leftChars="400"/>
    </w:pPr>
  </w:style>
  <w:style w:type="paragraph" w:styleId="8">
    <w:name w:val="footer"/>
    <w:basedOn w:val="1"/>
    <w:qFormat/>
    <w:uiPriority w:val="0"/>
    <w:pPr>
      <w:tabs>
        <w:tab w:val="center" w:pos="4153"/>
        <w:tab w:val="right" w:pos="8306"/>
      </w:tabs>
      <w:snapToGrid w:val="0"/>
      <w:jc w:val="left"/>
    </w:pPr>
  </w:style>
  <w:style w:type="paragraph" w:styleId="9">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style>
  <w:style w:type="paragraph" w:styleId="10">
    <w:name w:val="toc 1"/>
    <w:basedOn w:val="1"/>
    <w:next w:val="1"/>
    <w:qFormat/>
    <w:uiPriority w:val="0"/>
  </w:style>
  <w:style w:type="paragraph" w:styleId="11">
    <w:name w:val="toc 2"/>
    <w:basedOn w:val="1"/>
    <w:next w:val="1"/>
    <w:qFormat/>
    <w:uiPriority w:val="0"/>
    <w:pPr>
      <w:ind w:left="200" w:leftChars="200"/>
    </w:pPr>
  </w:style>
  <w:style w:type="paragraph" w:customStyle="1" w:styleId="14">
    <w:name w:val="WPSOffice手动目录 3"/>
    <w:qFormat/>
    <w:uiPriority w:val="0"/>
    <w:pPr>
      <w:ind w:left="400" w:leftChars="400"/>
    </w:pPr>
    <w:rPr>
      <w:rFonts w:ascii="Times New Roman" w:hAnsi="Times New Roman" w:eastAsia="宋体" w:cs="Times New Roman"/>
      <w:sz w:val="20"/>
      <w:szCs w:val="20"/>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sz w:val="20"/>
      <w:szCs w:val="20"/>
      <w:lang w:val="en-US" w:eastAsia="zh-CN" w:bidi="ar-SA"/>
    </w:rPr>
  </w:style>
  <w:style w:type="paragraph" w:customStyle="1" w:styleId="16">
    <w:name w:val="WPSOffice手动目录 1"/>
    <w:qFormat/>
    <w:uiPriority w:val="0"/>
    <w:rPr>
      <w:rFonts w:ascii="Times New Roman" w:hAnsi="Times New Roman" w:eastAsia="宋体" w:cs="Times New Roman"/>
      <w:sz w:val="20"/>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27</Pages>
  <Words>0</Words>
  <Characters>9924</Characters>
  <Lines>0</Lines>
  <Paragraphs>332</Paragraphs>
  <TotalTime>1</TotalTime>
  <ScaleCrop>false</ScaleCrop>
  <LinksUpToDate>false</LinksUpToDate>
  <CharactersWithSpaces>13233</CharactersWithSpaces>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2025-03-18T12:58:00Z</cp:lastPrinted>
  <dcterms:modified xsi:type="dcterms:W3CDTF">2025-04-28T03:55:14Z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15C09956136D4F28B8676820326E1EBC_12</vt:lpwstr>
  </property>
  <property fmtid="{D5CDD505-2E9C-101B-9397-08002B2CF9AE}" pid="4" name="KSOTemplateDocerSaveRecord">
    <vt:lpwstr>eyJoZGlkIjoiYTYzMTkyOTBiOTk0M2MyN2U2YjIwMTNjZTc1ODc2NDgiLCJ1c2VySWQiOiI2MzcwNjcyOTgifQ==</vt:lpwstr>
  </property>
</Properties>
</file>