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outlineLvl w:val="1"/>
        <w:rPr>
          <w:rFonts w:hint="default" w:ascii="Times New Roman" w:hAnsi="Times New Roman" w:eastAsia="方正小标宋_GBK" w:cs="Times New Roman"/>
          <w:color w:val="auto"/>
          <w:kern w:val="0"/>
          <w:sz w:val="44"/>
          <w:szCs w:val="44"/>
          <w:highlight w:val="none"/>
          <w:lang w:eastAsia="zh-C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中共焉耆回族自治县委员会机构编制委员会2025年单位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一、关于中共焉耆回族自治县委员会机构编制委员会2025年收支预算情况的总体说明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二、关于中共焉耆回族自治县委员会机构编制委员会2025年收入预算情况说明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三、关于中共焉耆回族自治县委员会机构编制委员会2025年支出预算情况说明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四、关于中共焉耆回族自治县委员会机构编制委员会2025年财政拨款收支预算情况的总体说明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五、关于中共焉耆回族自治县委员会机构编制委员会2025年一般公共预算当年拨款情况说明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六、关于中共焉耆回族自治县委员会机构编制委员会2025年一般公共预算基本支出情况说明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七、关于中共焉耆回族自治县委员会机构编制委员会2025年一般公共预算项目支出情况说明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八、关于中共焉耆回族自治县委员会机构编制委员会2025年政府性基金预算拨款情况说明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九、关于中共焉耆回族自治县委员会机构编制委员会2025年国有资本经营预算拨款情况说明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十、关于中共焉耆回族自治县委员会机构编制委员会2025年财政拨款“三公”经费预算情况说明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十一、关于中共焉耆回族自治县委员会机构编制委员会2025年上年结转结余预算情况说明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both"/>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1.贯彻执行中央、自治区、自治州机构编制管理的政策、法规、规章和制度，拟订自治县行政机关、党群政法机关机构编制管理意见和办法。</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2.审核自治县党委机关、自治县人民政府工作部门、人大机关、政协机关、纪委监委机关及派驻机构、法院机关、检察院机关、民主党派机关、人民团体机关的机构改革方案及“三定”规定。</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3.贯彻执行中央、自治区、自治州机构编制管理的政策、法规、规章和制度，拟定自治县事业单位机构编制管理意见和办法。</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4.贯彻执行中央、自治区、自治州机构编制管理的政策、法规、规章和制度，拟订自治县机构编制监督检查的意见和办法。</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5.拟订自治县机构编制电子政务建设发展规划并组织实施；承担自治县机构编制实名制管理工作。</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cs="Times New Roman"/>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bookmarkStart w:id="0" w:name="OLE_LINK1"/>
      <w:r>
        <w:rPr>
          <w:rFonts w:hint="default" w:ascii="Times New Roman" w:hAnsi="Times New Roman" w:eastAsia="仿宋_GB2312" w:cs="Times New Roman"/>
          <w:bCs/>
          <w:color w:val="auto"/>
          <w:kern w:val="0"/>
          <w:sz w:val="32"/>
          <w:szCs w:val="32"/>
          <w:highlight w:val="none"/>
          <w:lang w:val="en-US" w:eastAsia="zh-CN"/>
        </w:rPr>
        <w:t>中共焉耆回族自治县委员会机构编制委员会</w:t>
      </w:r>
      <w:bookmarkEnd w:id="0"/>
      <w:r>
        <w:rPr>
          <w:rFonts w:hint="default" w:ascii="Times New Roman" w:hAnsi="Times New Roman" w:eastAsia="仿宋_GB2312" w:cs="Times New Roman"/>
          <w:bCs/>
          <w:color w:val="auto"/>
          <w:kern w:val="0"/>
          <w:sz w:val="32"/>
          <w:szCs w:val="32"/>
          <w:highlight w:val="none"/>
          <w:lang w:val="en-US" w:eastAsia="zh-CN"/>
        </w:rPr>
        <w:t>无下属预算单位，下设</w:t>
      </w:r>
      <w:r>
        <w:rPr>
          <w:rFonts w:hint="eastAsia"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lang w:val="en-US" w:eastAsia="zh-CN"/>
        </w:rPr>
        <w:t>个处室，分别是</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综合业务股、办公室。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中共焉耆回族自治县委员会机构编制委员会</w:t>
      </w:r>
      <w:r>
        <w:rPr>
          <w:rFonts w:hint="eastAsia" w:eastAsia="仿宋_GB2312" w:cs="Times New Roman"/>
          <w:bCs/>
          <w:color w:val="auto"/>
          <w:kern w:val="0"/>
          <w:sz w:val="32"/>
          <w:szCs w:val="32"/>
          <w:highlight w:val="none"/>
          <w:lang w:val="en-US" w:eastAsia="zh-CN"/>
        </w:rPr>
        <w:t>编制数</w:t>
      </w:r>
      <w:r>
        <w:rPr>
          <w:rFonts w:hint="default" w:ascii="Times New Roman" w:hAnsi="Times New Roman" w:eastAsia="仿宋_GB2312" w:cs="Times New Roman"/>
          <w:bCs/>
          <w:color w:val="auto"/>
          <w:kern w:val="0"/>
          <w:sz w:val="32"/>
          <w:szCs w:val="32"/>
          <w:highlight w:val="none"/>
          <w:lang w:val="en-US" w:eastAsia="zh-CN"/>
        </w:rPr>
        <w:t>12，实有人数16人，其中：在职12人，减少0人；退休4人，增加0人；离休0人，减少0人。</w:t>
      </w:r>
    </w:p>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cs="Times New Roman"/>
        </w:rP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编制单位：中共焉耆回族自治县委员会机构编制委员会</w:t>
      </w:r>
      <w:r>
        <w:rPr>
          <w:rFonts w:hint="default" w:ascii="Times New Roman" w:hAnsi="Times New Roman" w:eastAsia="仿宋_GB2312" w:cs="Times New Roman"/>
          <w:color w:val="auto"/>
          <w:kern w:val="0"/>
          <w:sz w:val="24"/>
          <w:highlight w:val="none"/>
          <w:lang w:val="en-US" w:eastAsia="zh-CN"/>
        </w:rPr>
        <w:t xml:space="preserve">       </w:t>
      </w:r>
      <w:r>
        <w:rPr>
          <w:rFonts w:hint="eastAsia"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287"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198.70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highlight w:val="none"/>
                <w:u w:val="none"/>
                <w:lang w:val="en-US" w:eastAsia="zh-CN" w:bidi="ar"/>
              </w:rPr>
              <w:t>140.74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198.70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198.70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highlight w:val="none"/>
                <w:u w:val="none"/>
                <w:lang w:val="en-US" w:eastAsia="zh-CN" w:bidi="ar"/>
              </w:rPr>
              <w:t>31.27</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highlight w:val="none"/>
                <w:u w:val="none"/>
                <w:lang w:val="en-US" w:eastAsia="zh-CN" w:bidi="ar"/>
              </w:rPr>
              <w:t>11.58</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bookmarkStart w:id="1" w:name="OLE_LINK5"/>
            <w:r>
              <w:rPr>
                <w:rFonts w:hint="default" w:ascii="Times New Roman" w:hAnsi="Times New Roman" w:eastAsia="仿宋_GB2312" w:cs="Times New Roman"/>
                <w:i w:val="0"/>
                <w:color w:val="000000"/>
                <w:kern w:val="0"/>
                <w:sz w:val="20"/>
                <w:szCs w:val="20"/>
                <w:highlight w:val="none"/>
                <w:u w:val="none"/>
                <w:lang w:val="en-US" w:eastAsia="zh-CN" w:bidi="ar"/>
              </w:rPr>
              <w:t>15.11</w:t>
            </w:r>
            <w:bookmarkEnd w:id="1"/>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yellow"/>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yellow"/>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yellow"/>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198.70</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color w:val="000000"/>
                <w:kern w:val="0"/>
                <w:sz w:val="20"/>
                <w:szCs w:val="20"/>
                <w:u w:val="none"/>
                <w:lang w:val="en-US" w:eastAsia="zh-CN" w:bidi="ar"/>
              </w:rPr>
              <w:t>198.70</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编制单位：中共焉耆回族自治县委员会机构编制委员会  </w:t>
      </w:r>
      <w:r>
        <w:rPr>
          <w:rFonts w:hint="default" w:ascii="Times New Roman" w:hAnsi="Times New Roman" w:eastAsia="仿宋_GB2312" w:cs="Times New Roman"/>
          <w:color w:val="auto"/>
          <w:kern w:val="0"/>
          <w:sz w:val="24"/>
          <w:highlight w:val="none"/>
          <w:lang w:val="en-US" w:eastAsia="zh-CN"/>
        </w:rPr>
        <w:t xml:space="preserve">    </w:t>
      </w:r>
      <w:r>
        <w:rPr>
          <w:rFonts w:hint="eastAsia"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10413" w:type="dxa"/>
        <w:tblInd w:w="-615" w:type="dxa"/>
        <w:tblLayout w:type="fixed"/>
        <w:tblCellMar>
          <w:top w:w="0" w:type="dxa"/>
          <w:left w:w="108" w:type="dxa"/>
          <w:bottom w:w="0" w:type="dxa"/>
          <w:right w:w="108" w:type="dxa"/>
        </w:tblCellMar>
      </w:tblPr>
      <w:tblGrid>
        <w:gridCol w:w="677"/>
        <w:gridCol w:w="432"/>
        <w:gridCol w:w="431"/>
        <w:gridCol w:w="2006"/>
        <w:gridCol w:w="788"/>
        <w:gridCol w:w="768"/>
        <w:gridCol w:w="769"/>
        <w:gridCol w:w="638"/>
        <w:gridCol w:w="407"/>
        <w:gridCol w:w="675"/>
        <w:gridCol w:w="379"/>
        <w:gridCol w:w="706"/>
        <w:gridCol w:w="427"/>
        <w:gridCol w:w="347"/>
        <w:gridCol w:w="443"/>
        <w:gridCol w:w="520"/>
      </w:tblGrid>
      <w:tr>
        <w:tblPrEx>
          <w:tblCellMar>
            <w:top w:w="0" w:type="dxa"/>
            <w:left w:w="108" w:type="dxa"/>
            <w:bottom w:w="0" w:type="dxa"/>
            <w:right w:w="108" w:type="dxa"/>
          </w:tblCellMar>
        </w:tblPrEx>
        <w:trPr>
          <w:trHeight w:val="697" w:hRule="atLeast"/>
        </w:trPr>
        <w:tc>
          <w:tcPr>
            <w:tcW w:w="15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8"/>
                <w:szCs w:val="28"/>
                <w:highlight w:val="none"/>
              </w:rPr>
              <w:t>功能分类科目编码</w:t>
            </w:r>
          </w:p>
        </w:tc>
        <w:tc>
          <w:tcPr>
            <w:tcW w:w="200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0"/>
                <w:szCs w:val="20"/>
                <w:highlight w:val="none"/>
              </w:rPr>
              <w:t>功能分类科目名称</w:t>
            </w:r>
          </w:p>
        </w:tc>
        <w:tc>
          <w:tcPr>
            <w:tcW w:w="78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1"/>
                <w:szCs w:val="21"/>
                <w:highlight w:val="none"/>
              </w:rPr>
            </w:pPr>
            <w:r>
              <w:rPr>
                <w:rFonts w:hint="default" w:ascii="Times New Roman" w:hAnsi="Times New Roman" w:eastAsia="仿宋_GB2312" w:cs="Times New Roman"/>
                <w:b/>
                <w:bCs w:val="0"/>
                <w:color w:val="auto"/>
                <w:sz w:val="20"/>
                <w:szCs w:val="20"/>
                <w:highlight w:val="none"/>
              </w:rPr>
              <w:t>总  计</w:t>
            </w:r>
          </w:p>
        </w:tc>
        <w:tc>
          <w:tcPr>
            <w:tcW w:w="434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1"/>
                <w:szCs w:val="21"/>
                <w:highlight w:val="none"/>
              </w:rPr>
            </w:pPr>
            <w:r>
              <w:rPr>
                <w:rFonts w:hint="default" w:ascii="Times New Roman" w:hAnsi="Times New Roman" w:eastAsia="仿宋_GB2312" w:cs="Times New Roman"/>
                <w:b/>
                <w:bCs w:val="0"/>
                <w:color w:val="auto"/>
                <w:sz w:val="28"/>
                <w:szCs w:val="28"/>
                <w:highlight w:val="none"/>
              </w:rPr>
              <w:t>财  政  拨  款  (  补  助  )</w:t>
            </w:r>
          </w:p>
        </w:tc>
        <w:tc>
          <w:tcPr>
            <w:tcW w:w="42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34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44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52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903" w:hRule="atLeast"/>
        </w:trPr>
        <w:tc>
          <w:tcPr>
            <w:tcW w:w="677"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32"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31"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200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1"/>
                <w:szCs w:val="21"/>
                <w:highlight w:val="none"/>
              </w:rPr>
            </w:pPr>
          </w:p>
        </w:tc>
        <w:tc>
          <w:tcPr>
            <w:tcW w:w="788"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1"/>
                <w:szCs w:val="21"/>
                <w:highlight w:val="none"/>
              </w:rPr>
            </w:pPr>
          </w:p>
        </w:tc>
        <w:tc>
          <w:tcPr>
            <w:tcW w:w="76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769"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3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0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7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379"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70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42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1"/>
                <w:szCs w:val="21"/>
                <w:highlight w:val="none"/>
              </w:rPr>
            </w:pPr>
          </w:p>
        </w:tc>
        <w:tc>
          <w:tcPr>
            <w:tcW w:w="34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1"/>
                <w:szCs w:val="21"/>
                <w:highlight w:val="none"/>
              </w:rPr>
            </w:pPr>
          </w:p>
        </w:tc>
        <w:tc>
          <w:tcPr>
            <w:tcW w:w="44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1"/>
                <w:szCs w:val="21"/>
                <w:highlight w:val="none"/>
              </w:rPr>
            </w:pPr>
          </w:p>
        </w:tc>
        <w:tc>
          <w:tcPr>
            <w:tcW w:w="52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465" w:hRule="atLeast"/>
        </w:trPr>
        <w:tc>
          <w:tcPr>
            <w:tcW w:w="6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4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rPr>
            </w:pPr>
          </w:p>
        </w:tc>
        <w:tc>
          <w:tcPr>
            <w:tcW w:w="43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rPr>
            </w:pPr>
          </w:p>
        </w:tc>
        <w:tc>
          <w:tcPr>
            <w:tcW w:w="200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一般公共服务支出</w:t>
            </w:r>
          </w:p>
        </w:tc>
        <w:tc>
          <w:tcPr>
            <w:tcW w:w="788"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140.74</w:t>
            </w:r>
          </w:p>
        </w:tc>
        <w:tc>
          <w:tcPr>
            <w:tcW w:w="768"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140.74</w:t>
            </w:r>
          </w:p>
        </w:tc>
        <w:tc>
          <w:tcPr>
            <w:tcW w:w="769"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140.74</w:t>
            </w:r>
          </w:p>
        </w:tc>
        <w:tc>
          <w:tcPr>
            <w:tcW w:w="638"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40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379"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44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52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67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4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32</w:t>
            </w:r>
          </w:p>
        </w:tc>
        <w:tc>
          <w:tcPr>
            <w:tcW w:w="4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组织事务</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140.74</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140.74</w:t>
            </w:r>
          </w:p>
        </w:tc>
        <w:tc>
          <w:tcPr>
            <w:tcW w:w="7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140.74</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67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4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32</w:t>
            </w:r>
          </w:p>
        </w:tc>
        <w:tc>
          <w:tcPr>
            <w:tcW w:w="4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p>
        </w:tc>
        <w:tc>
          <w:tcPr>
            <w:tcW w:w="20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行政运行</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90.70</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90.70</w:t>
            </w:r>
          </w:p>
        </w:tc>
        <w:tc>
          <w:tcPr>
            <w:tcW w:w="7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90.70</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67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4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32</w:t>
            </w:r>
          </w:p>
        </w:tc>
        <w:tc>
          <w:tcPr>
            <w:tcW w:w="4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50</w:t>
            </w:r>
          </w:p>
        </w:tc>
        <w:tc>
          <w:tcPr>
            <w:tcW w:w="20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事业运行</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50.04</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50.04</w:t>
            </w:r>
          </w:p>
        </w:tc>
        <w:tc>
          <w:tcPr>
            <w:tcW w:w="7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50.04</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67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社会保障和就业支出</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31.27</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31.27</w:t>
            </w:r>
          </w:p>
        </w:tc>
        <w:tc>
          <w:tcPr>
            <w:tcW w:w="7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31.27</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67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4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行政事业单位养老支出</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31.27</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31.27</w:t>
            </w:r>
          </w:p>
        </w:tc>
        <w:tc>
          <w:tcPr>
            <w:tcW w:w="7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31.27</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67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4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p>
        </w:tc>
        <w:tc>
          <w:tcPr>
            <w:tcW w:w="20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行政单位离退休</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1.06</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1.06</w:t>
            </w:r>
          </w:p>
        </w:tc>
        <w:tc>
          <w:tcPr>
            <w:tcW w:w="7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1.06</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67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4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20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机关事业单位基本养老保险缴费支出</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20.14</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20.14</w:t>
            </w:r>
          </w:p>
        </w:tc>
        <w:tc>
          <w:tcPr>
            <w:tcW w:w="7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20.14</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67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4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06</w:t>
            </w:r>
          </w:p>
        </w:tc>
        <w:tc>
          <w:tcPr>
            <w:tcW w:w="20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机关事业单位职业年金缴费支出</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10.07</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10.07</w:t>
            </w:r>
          </w:p>
        </w:tc>
        <w:tc>
          <w:tcPr>
            <w:tcW w:w="7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10.07</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71" w:hRule="atLeast"/>
        </w:trPr>
        <w:tc>
          <w:tcPr>
            <w:tcW w:w="67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卫生健康支出</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11.58</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11.58</w:t>
            </w:r>
          </w:p>
        </w:tc>
        <w:tc>
          <w:tcPr>
            <w:tcW w:w="7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11.58</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67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p>
        </w:tc>
        <w:tc>
          <w:tcPr>
            <w:tcW w:w="4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行政事业单位医疗</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11.58</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11.58</w:t>
            </w:r>
          </w:p>
        </w:tc>
        <w:tc>
          <w:tcPr>
            <w:tcW w:w="7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11.58</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67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p>
        </w:tc>
        <w:tc>
          <w:tcPr>
            <w:tcW w:w="4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p>
        </w:tc>
        <w:tc>
          <w:tcPr>
            <w:tcW w:w="20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行政单位医疗</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5.64</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5.64</w:t>
            </w:r>
          </w:p>
        </w:tc>
        <w:tc>
          <w:tcPr>
            <w:tcW w:w="7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5.64</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71" w:hRule="atLeast"/>
        </w:trPr>
        <w:tc>
          <w:tcPr>
            <w:tcW w:w="67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p>
        </w:tc>
        <w:tc>
          <w:tcPr>
            <w:tcW w:w="4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20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事业单位医疗</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3.63</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3.63</w:t>
            </w:r>
          </w:p>
        </w:tc>
        <w:tc>
          <w:tcPr>
            <w:tcW w:w="7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3.63</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45" w:hRule="atLeast"/>
        </w:trPr>
        <w:tc>
          <w:tcPr>
            <w:tcW w:w="67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p>
        </w:tc>
        <w:tc>
          <w:tcPr>
            <w:tcW w:w="4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p>
        </w:tc>
        <w:tc>
          <w:tcPr>
            <w:tcW w:w="20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公务员医疗补助</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2.31</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2.31</w:t>
            </w:r>
          </w:p>
        </w:tc>
        <w:tc>
          <w:tcPr>
            <w:tcW w:w="7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2.31</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32" w:hRule="atLeast"/>
        </w:trPr>
        <w:tc>
          <w:tcPr>
            <w:tcW w:w="67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住房保障支出</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15.11</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15.11</w:t>
            </w:r>
          </w:p>
        </w:tc>
        <w:tc>
          <w:tcPr>
            <w:tcW w:w="7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15.11</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67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住房改革支出</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15.11</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15.11</w:t>
            </w:r>
          </w:p>
        </w:tc>
        <w:tc>
          <w:tcPr>
            <w:tcW w:w="7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15.11</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90" w:hRule="atLeast"/>
        </w:trPr>
        <w:tc>
          <w:tcPr>
            <w:tcW w:w="67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20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15.11</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15.11</w:t>
            </w:r>
          </w:p>
        </w:tc>
        <w:tc>
          <w:tcPr>
            <w:tcW w:w="7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15.11</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67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20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b w:val="0"/>
                <w:bCs w:val="0"/>
                <w:color w:val="auto"/>
                <w:sz w:val="18"/>
                <w:szCs w:val="18"/>
                <w:highlight w:val="none"/>
              </w:rPr>
              <w:t>合  计</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198.70</w:t>
            </w:r>
          </w:p>
        </w:tc>
        <w:tc>
          <w:tcPr>
            <w:tcW w:w="76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198.70</w:t>
            </w:r>
          </w:p>
        </w:tc>
        <w:tc>
          <w:tcPr>
            <w:tcW w:w="76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198.70</w:t>
            </w:r>
          </w:p>
        </w:tc>
        <w:tc>
          <w:tcPr>
            <w:tcW w:w="63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编制单位：中共焉耆回族自治县委员会机构编制委员会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8721" w:type="dxa"/>
        <w:tblInd w:w="0" w:type="dxa"/>
        <w:tblLayout w:type="fixed"/>
        <w:tblCellMar>
          <w:top w:w="0" w:type="dxa"/>
          <w:left w:w="108" w:type="dxa"/>
          <w:bottom w:w="0" w:type="dxa"/>
          <w:right w:w="108" w:type="dxa"/>
        </w:tblCellMar>
      </w:tblPr>
      <w:tblGrid>
        <w:gridCol w:w="516"/>
        <w:gridCol w:w="535"/>
        <w:gridCol w:w="440"/>
        <w:gridCol w:w="3193"/>
        <w:gridCol w:w="1461"/>
        <w:gridCol w:w="1403"/>
        <w:gridCol w:w="1173"/>
      </w:tblGrid>
      <w:tr>
        <w:tblPrEx>
          <w:tblCellMar>
            <w:top w:w="0" w:type="dxa"/>
            <w:left w:w="108" w:type="dxa"/>
            <w:bottom w:w="0" w:type="dxa"/>
            <w:right w:w="108" w:type="dxa"/>
          </w:tblCellMar>
        </w:tblPrEx>
        <w:trPr>
          <w:trHeight w:val="328" w:hRule="atLeast"/>
        </w:trPr>
        <w:tc>
          <w:tcPr>
            <w:tcW w:w="468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科</w:t>
            </w:r>
            <w:r>
              <w:rPr>
                <w:rFonts w:hint="default" w:ascii="Times New Roman" w:hAnsi="Times New Roman" w:eastAsia="仿宋_GB2312" w:cs="Times New Roman"/>
                <w:b/>
                <w:bCs/>
                <w:color w:val="auto"/>
                <w:kern w:val="0"/>
                <w:sz w:val="20"/>
                <w:szCs w:val="20"/>
                <w:highlight w:val="none"/>
              </w:rPr>
              <w:t xml:space="preserve">    目</w:t>
            </w:r>
          </w:p>
        </w:tc>
        <w:tc>
          <w:tcPr>
            <w:tcW w:w="4037"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支出预算</w:t>
            </w:r>
          </w:p>
        </w:tc>
      </w:tr>
      <w:tr>
        <w:tblPrEx>
          <w:tblCellMar>
            <w:top w:w="0" w:type="dxa"/>
            <w:left w:w="108" w:type="dxa"/>
            <w:bottom w:w="0" w:type="dxa"/>
            <w:right w:w="108" w:type="dxa"/>
          </w:tblCellMar>
        </w:tblPrEx>
        <w:trPr>
          <w:trHeight w:val="480" w:hRule="atLeast"/>
        </w:trPr>
        <w:tc>
          <w:tcPr>
            <w:tcW w:w="14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19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46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40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17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19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46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40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17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201</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31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一般公共服务支出</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140.74</w:t>
            </w:r>
          </w:p>
        </w:tc>
        <w:tc>
          <w:tcPr>
            <w:tcW w:w="14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bookmarkStart w:id="2" w:name="OLE_LINK2"/>
            <w:r>
              <w:rPr>
                <w:rFonts w:hint="default" w:ascii="Times New Roman" w:hAnsi="Times New Roman" w:eastAsia="仿宋_GB2312" w:cs="Times New Roman"/>
                <w:b w:val="0"/>
                <w:bCs w:val="0"/>
                <w:i w:val="0"/>
                <w:color w:val="000000"/>
                <w:kern w:val="0"/>
                <w:sz w:val="20"/>
                <w:szCs w:val="20"/>
                <w:u w:val="none"/>
                <w:lang w:val="en-US" w:eastAsia="zh-CN" w:bidi="ar"/>
              </w:rPr>
              <w:t>140.74</w:t>
            </w:r>
            <w:bookmarkEnd w:id="2"/>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201</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32</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31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组织事务</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140.74</w:t>
            </w:r>
          </w:p>
        </w:tc>
        <w:tc>
          <w:tcPr>
            <w:tcW w:w="14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140.74</w:t>
            </w:r>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201</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32</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1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行政运行</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90.70</w:t>
            </w:r>
          </w:p>
        </w:tc>
        <w:tc>
          <w:tcPr>
            <w:tcW w:w="14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90.70</w:t>
            </w:r>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201</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32</w:t>
            </w:r>
            <w:r>
              <w:rPr>
                <w:rFonts w:hint="default" w:ascii="Times New Roman" w:hAnsi="Times New Roman" w:eastAsia="仿宋_GB2312" w:cs="Times New Roman"/>
                <w:b w:val="0"/>
                <w:bCs w:val="0"/>
                <w:color w:val="auto"/>
                <w:kern w:val="0"/>
                <w:sz w:val="20"/>
                <w:szCs w:val="20"/>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50</w:t>
            </w:r>
            <w:r>
              <w:rPr>
                <w:rFonts w:hint="default" w:ascii="Times New Roman" w:hAnsi="Times New Roman" w:eastAsia="仿宋_GB2312" w:cs="Times New Roman"/>
                <w:b w:val="0"/>
                <w:bCs w:val="0"/>
                <w:color w:val="auto"/>
                <w:kern w:val="0"/>
                <w:sz w:val="20"/>
                <w:szCs w:val="20"/>
                <w:highlight w:val="none"/>
              </w:rPr>
              <w:t>　</w:t>
            </w:r>
          </w:p>
        </w:tc>
        <w:tc>
          <w:tcPr>
            <w:tcW w:w="31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事业运行</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50.04</w:t>
            </w:r>
          </w:p>
        </w:tc>
        <w:tc>
          <w:tcPr>
            <w:tcW w:w="14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50.04</w:t>
            </w:r>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31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社会保障和就业支出</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31.27</w:t>
            </w:r>
          </w:p>
        </w:tc>
        <w:tc>
          <w:tcPr>
            <w:tcW w:w="14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bookmarkStart w:id="3" w:name="OLE_LINK3"/>
            <w:r>
              <w:rPr>
                <w:rFonts w:hint="default" w:ascii="Times New Roman" w:hAnsi="Times New Roman" w:eastAsia="仿宋_GB2312" w:cs="Times New Roman"/>
                <w:b w:val="0"/>
                <w:bCs w:val="0"/>
                <w:i w:val="0"/>
                <w:color w:val="000000"/>
                <w:kern w:val="0"/>
                <w:sz w:val="20"/>
                <w:szCs w:val="20"/>
                <w:u w:val="none"/>
                <w:lang w:val="en-US" w:eastAsia="zh-CN" w:bidi="ar"/>
              </w:rPr>
              <w:t>31.27</w:t>
            </w:r>
            <w:bookmarkEnd w:id="3"/>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31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行政事业单位养老支出</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31.27</w:t>
            </w:r>
          </w:p>
        </w:tc>
        <w:tc>
          <w:tcPr>
            <w:tcW w:w="14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31.27</w:t>
            </w:r>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7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01</w:t>
            </w:r>
            <w:r>
              <w:rPr>
                <w:rFonts w:hint="default" w:ascii="Times New Roman" w:hAnsi="Times New Roman" w:eastAsia="仿宋_GB2312" w:cs="Times New Roman"/>
                <w:b w:val="0"/>
                <w:bCs w:val="0"/>
                <w:color w:val="auto"/>
                <w:kern w:val="0"/>
                <w:sz w:val="20"/>
                <w:szCs w:val="20"/>
                <w:highlight w:val="none"/>
              </w:rPr>
              <w:t>　</w:t>
            </w:r>
          </w:p>
        </w:tc>
        <w:tc>
          <w:tcPr>
            <w:tcW w:w="31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行政单位离退休</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eastAsia" w:eastAsia="仿宋_GB2312" w:cs="Times New Roman"/>
                <w:b w:val="0"/>
                <w:bCs w:val="0"/>
                <w:i w:val="0"/>
                <w:color w:val="000000"/>
                <w:kern w:val="0"/>
                <w:sz w:val="20"/>
                <w:szCs w:val="20"/>
                <w:u w:val="none"/>
                <w:lang w:val="en-US" w:eastAsia="zh-CN" w:bidi="ar"/>
              </w:rPr>
              <w:t xml:space="preserve">      </w:t>
            </w:r>
            <w:r>
              <w:rPr>
                <w:rFonts w:hint="default" w:ascii="Times New Roman" w:hAnsi="Times New Roman" w:eastAsia="仿宋_GB2312" w:cs="Times New Roman"/>
                <w:b w:val="0"/>
                <w:bCs w:val="0"/>
                <w:i w:val="0"/>
                <w:color w:val="000000"/>
                <w:kern w:val="0"/>
                <w:sz w:val="20"/>
                <w:szCs w:val="20"/>
                <w:u w:val="none"/>
                <w:lang w:val="en-US" w:eastAsia="zh-CN" w:bidi="ar"/>
              </w:rPr>
              <w:t>1.06</w:t>
            </w:r>
          </w:p>
        </w:tc>
        <w:tc>
          <w:tcPr>
            <w:tcW w:w="1403" w:type="dxa"/>
            <w:tcBorders>
              <w:top w:val="nil"/>
              <w:left w:val="nil"/>
              <w:bottom w:val="single" w:color="auto" w:sz="4" w:space="0"/>
              <w:right w:val="single" w:color="auto" w:sz="4" w:space="0"/>
            </w:tcBorders>
            <w:noWrap w:val="0"/>
            <w:vAlign w:val="bottom"/>
          </w:tcPr>
          <w:p>
            <w:pPr>
              <w:keepNext w:val="0"/>
              <w:keepLines w:val="0"/>
              <w:widowControl/>
              <w:suppressLineNumbers w:val="0"/>
              <w:ind w:firstLine="800" w:firstLineChars="400"/>
              <w:jc w:val="center"/>
              <w:textAlignment w:val="center"/>
              <w:rPr>
                <w:rFonts w:hint="default" w:eastAsia="宋体"/>
                <w:sz w:val="20"/>
                <w:szCs w:val="22"/>
                <w:lang w:val="en-US" w:eastAsia="zh-CN"/>
              </w:rPr>
            </w:pPr>
            <w:r>
              <w:rPr>
                <w:rFonts w:hint="default" w:eastAsia="宋体"/>
                <w:sz w:val="20"/>
                <w:szCs w:val="22"/>
                <w:lang w:val="en-US" w:eastAsia="zh-CN"/>
              </w:rPr>
              <w:t>1.06</w:t>
            </w:r>
          </w:p>
          <w:p>
            <w:pPr>
              <w:pStyle w:val="2"/>
              <w:jc w:val="center"/>
              <w:rPr>
                <w:rFonts w:hint="default"/>
              </w:rPr>
            </w:pPr>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31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机关事业单位基本养老保险缴费支出</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20.14</w:t>
            </w:r>
          </w:p>
        </w:tc>
        <w:tc>
          <w:tcPr>
            <w:tcW w:w="14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20.14</w:t>
            </w:r>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06</w:t>
            </w:r>
            <w:r>
              <w:rPr>
                <w:rFonts w:hint="default" w:ascii="Times New Roman" w:hAnsi="Times New Roman" w:eastAsia="仿宋_GB2312" w:cs="Times New Roman"/>
                <w:b w:val="0"/>
                <w:bCs w:val="0"/>
                <w:color w:val="auto"/>
                <w:kern w:val="0"/>
                <w:sz w:val="20"/>
                <w:szCs w:val="20"/>
                <w:highlight w:val="none"/>
              </w:rPr>
              <w:t>　</w:t>
            </w:r>
          </w:p>
        </w:tc>
        <w:tc>
          <w:tcPr>
            <w:tcW w:w="31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机关事业单位职业年金缴费支出</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10.07</w:t>
            </w:r>
          </w:p>
        </w:tc>
        <w:tc>
          <w:tcPr>
            <w:tcW w:w="14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10.07</w:t>
            </w:r>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210</w:t>
            </w:r>
            <w:r>
              <w:rPr>
                <w:rFonts w:hint="default" w:ascii="Times New Roman" w:hAnsi="Times New Roman" w:eastAsia="仿宋_GB2312" w:cs="Times New Roman"/>
                <w:b w:val="0"/>
                <w:bCs w:val="0"/>
                <w:color w:val="auto"/>
                <w:kern w:val="0"/>
                <w:sz w:val="20"/>
                <w:szCs w:val="20"/>
                <w:highlight w:val="none"/>
              </w:rPr>
              <w:t>　</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31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卫生健康支出</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11.58</w:t>
            </w:r>
          </w:p>
        </w:tc>
        <w:tc>
          <w:tcPr>
            <w:tcW w:w="14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bookmarkStart w:id="4" w:name="OLE_LINK4"/>
            <w:r>
              <w:rPr>
                <w:rFonts w:hint="default" w:ascii="Times New Roman" w:hAnsi="Times New Roman" w:eastAsia="仿宋_GB2312" w:cs="Times New Roman"/>
                <w:b w:val="0"/>
                <w:bCs w:val="0"/>
                <w:i w:val="0"/>
                <w:color w:val="000000"/>
                <w:kern w:val="0"/>
                <w:sz w:val="20"/>
                <w:szCs w:val="20"/>
                <w:u w:val="none"/>
                <w:lang w:val="en-US" w:eastAsia="zh-CN" w:bidi="ar"/>
              </w:rPr>
              <w:t>11.58</w:t>
            </w:r>
            <w:bookmarkEnd w:id="4"/>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31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行政事业单位医疗</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11.58</w:t>
            </w:r>
          </w:p>
        </w:tc>
        <w:tc>
          <w:tcPr>
            <w:tcW w:w="14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11.58</w:t>
            </w:r>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1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行政单位医疗</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5.64</w:t>
            </w:r>
          </w:p>
        </w:tc>
        <w:tc>
          <w:tcPr>
            <w:tcW w:w="14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5.64</w:t>
            </w:r>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31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事业单位医疗</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3.63</w:t>
            </w:r>
          </w:p>
        </w:tc>
        <w:tc>
          <w:tcPr>
            <w:tcW w:w="14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3.63</w:t>
            </w:r>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03</w:t>
            </w:r>
          </w:p>
        </w:tc>
        <w:tc>
          <w:tcPr>
            <w:tcW w:w="31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公务员医疗补助</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2.31</w:t>
            </w:r>
          </w:p>
        </w:tc>
        <w:tc>
          <w:tcPr>
            <w:tcW w:w="14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2.31</w:t>
            </w:r>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31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住房保障支出</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15.11</w:t>
            </w:r>
          </w:p>
        </w:tc>
        <w:tc>
          <w:tcPr>
            <w:tcW w:w="14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15.11</w:t>
            </w:r>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31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住房改革支出</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15.11</w:t>
            </w:r>
          </w:p>
        </w:tc>
        <w:tc>
          <w:tcPr>
            <w:tcW w:w="14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15.11</w:t>
            </w:r>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1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住房公积金</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15.11</w:t>
            </w:r>
          </w:p>
        </w:tc>
        <w:tc>
          <w:tcPr>
            <w:tcW w:w="14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15.11</w:t>
            </w:r>
          </w:p>
        </w:tc>
        <w:tc>
          <w:tcPr>
            <w:tcW w:w="11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31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146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14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11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31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146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14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11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31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46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14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11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31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46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14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11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20"/>
                <w:szCs w:val="20"/>
                <w:highlight w:val="none"/>
              </w:rPr>
            </w:pPr>
          </w:p>
        </w:tc>
        <w:tc>
          <w:tcPr>
            <w:tcW w:w="53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20"/>
                <w:szCs w:val="20"/>
                <w:highlight w:val="none"/>
              </w:rPr>
            </w:pPr>
          </w:p>
        </w:tc>
        <w:tc>
          <w:tcPr>
            <w:tcW w:w="31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20"/>
                <w:szCs w:val="20"/>
                <w:highlight w:val="none"/>
              </w:rPr>
            </w:pPr>
          </w:p>
        </w:tc>
        <w:tc>
          <w:tcPr>
            <w:tcW w:w="14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p>
        </w:tc>
        <w:tc>
          <w:tcPr>
            <w:tcW w:w="14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p>
        </w:tc>
        <w:tc>
          <w:tcPr>
            <w:tcW w:w="11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31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198.70</w:t>
            </w:r>
          </w:p>
        </w:tc>
        <w:tc>
          <w:tcPr>
            <w:tcW w:w="14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198.70</w:t>
            </w:r>
          </w:p>
        </w:tc>
        <w:tc>
          <w:tcPr>
            <w:tcW w:w="11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rPr>
        <w:t xml:space="preserve">中共焉耆回族自治县委员会机构编制委员会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   单位：万元</w:t>
      </w:r>
    </w:p>
    <w:tbl>
      <w:tblPr>
        <w:tblStyle w:val="10"/>
        <w:tblW w:w="10053" w:type="dxa"/>
        <w:tblInd w:w="-682" w:type="dxa"/>
        <w:tblLayout w:type="autofit"/>
        <w:tblCellMar>
          <w:top w:w="0" w:type="dxa"/>
          <w:left w:w="108" w:type="dxa"/>
          <w:bottom w:w="0" w:type="dxa"/>
          <w:right w:w="108" w:type="dxa"/>
        </w:tblCellMar>
      </w:tblPr>
      <w:tblGrid>
        <w:gridCol w:w="2200"/>
        <w:gridCol w:w="933"/>
        <w:gridCol w:w="2934"/>
        <w:gridCol w:w="893"/>
        <w:gridCol w:w="880"/>
        <w:gridCol w:w="1160"/>
        <w:gridCol w:w="1053"/>
      </w:tblGrid>
      <w:tr>
        <w:tblPrEx>
          <w:tblCellMar>
            <w:top w:w="0" w:type="dxa"/>
            <w:left w:w="108" w:type="dxa"/>
            <w:bottom w:w="0" w:type="dxa"/>
            <w:right w:w="108" w:type="dxa"/>
          </w:tblCellMar>
        </w:tblPrEx>
        <w:trPr>
          <w:trHeight w:val="285" w:hRule="atLeast"/>
        </w:trPr>
        <w:tc>
          <w:tcPr>
            <w:tcW w:w="3133"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920"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2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8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05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Hans"/>
              </w:rPr>
              <w:t>一、</w:t>
            </w:r>
            <w:r>
              <w:rPr>
                <w:rFonts w:hint="default" w:ascii="Times New Roman" w:hAnsi="Times New Roman" w:eastAsia="仿宋_GB2312" w:cs="Times New Roman"/>
                <w:color w:val="auto"/>
                <w:kern w:val="0"/>
                <w:sz w:val="20"/>
                <w:szCs w:val="20"/>
                <w:highlight w:val="none"/>
              </w:rPr>
              <w:t>财政拨款（补助）</w:t>
            </w: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198.70</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201 一般公共服务支出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140.74</w:t>
            </w: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140.74</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200" w:firstLineChars="10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一般公共预算</w:t>
            </w: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198.70</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202 外交支出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政府性基金预算</w:t>
            </w:r>
          </w:p>
        </w:tc>
        <w:tc>
          <w:tcPr>
            <w:tcW w:w="9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203 国防支出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国有资本经营预算</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204 公共安全支出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205 教育支出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206 科学技术支出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207 文化旅游体育与传媒支出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208 社会保障和就业支出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31.27</w:t>
            </w: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31.27</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209 社会保险基金支出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卫生健康支出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11.58</w:t>
            </w: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11.58</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211 节能环保支出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212 城乡社区支出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213 农林水支出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214 交通运输支出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215 资源勘探</w:t>
            </w:r>
            <w:r>
              <w:rPr>
                <w:rFonts w:hint="default" w:ascii="Times New Roman" w:hAnsi="Times New Roman" w:eastAsia="仿宋_GB2312" w:cs="Times New Roman"/>
                <w:b w:val="0"/>
                <w:bCs w:val="0"/>
                <w:color w:val="auto"/>
                <w:kern w:val="0"/>
                <w:sz w:val="20"/>
                <w:szCs w:val="20"/>
                <w:highlight w:val="none"/>
                <w:lang w:val="en-US" w:eastAsia="zh-Hans"/>
              </w:rPr>
              <w:t>工业</w:t>
            </w:r>
            <w:r>
              <w:rPr>
                <w:rFonts w:hint="default" w:ascii="Times New Roman" w:hAnsi="Times New Roman" w:eastAsia="仿宋_GB2312" w:cs="Times New Roman"/>
                <w:b w:val="0"/>
                <w:bCs w:val="0"/>
                <w:color w:val="auto"/>
                <w:kern w:val="0"/>
                <w:sz w:val="20"/>
                <w:szCs w:val="20"/>
                <w:highlight w:val="none"/>
              </w:rPr>
              <w:t>信息等支出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216 商业服务业等支出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217 金融支出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219 援助其他地区支出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220 自然资源海洋气象等支出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221 住房保障支出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15.11</w:t>
            </w: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15.11</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222 粮油物资储备支出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223 国有资本经营预算支出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224</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灾害防治及应急管理支出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227 预备费</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229 其他支出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转移性支出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231 债务还本支出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232 债务付息支出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 xml:space="preserve">                    </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3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0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198.70</w:t>
            </w:r>
            <w:r>
              <w:rPr>
                <w:rFonts w:hint="default" w:ascii="Times New Roman" w:hAnsi="Times New Roman" w:eastAsia="仿宋_GB2312" w:cs="Times New Roman"/>
                <w:b/>
                <w:bCs/>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198.70</w:t>
            </w:r>
            <w:r>
              <w:rPr>
                <w:rFonts w:hint="default" w:ascii="Times New Roman" w:hAnsi="Times New Roman" w:eastAsia="仿宋_GB2312" w:cs="Times New Roman"/>
                <w:color w:val="auto"/>
                <w:kern w:val="0"/>
                <w:sz w:val="20"/>
                <w:szCs w:val="20"/>
                <w:highlight w:val="none"/>
              </w:rPr>
              <w:t>　</w:t>
            </w:r>
          </w:p>
        </w:tc>
        <w:tc>
          <w:tcPr>
            <w:tcW w:w="8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198.70</w:t>
            </w: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214" w:type="dxa"/>
        <w:tblInd w:w="-34" w:type="dxa"/>
        <w:tblLayout w:type="autofit"/>
        <w:tblCellMar>
          <w:top w:w="0" w:type="dxa"/>
          <w:left w:w="108" w:type="dxa"/>
          <w:bottom w:w="0" w:type="dxa"/>
          <w:right w:w="108" w:type="dxa"/>
        </w:tblCellMar>
      </w:tblPr>
      <w:tblGrid>
        <w:gridCol w:w="519"/>
        <w:gridCol w:w="499"/>
        <w:gridCol w:w="502"/>
        <w:gridCol w:w="2739"/>
        <w:gridCol w:w="1431"/>
        <w:gridCol w:w="1832"/>
        <w:gridCol w:w="1692"/>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rPr>
              <w:t>中共焉耆回族自治县委员会机构编制委员会</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259"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955"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2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73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4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73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4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201</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color w:val="auto"/>
                <w:kern w:val="0"/>
                <w:sz w:val="20"/>
                <w:szCs w:val="20"/>
                <w:highlight w:val="none"/>
              </w:rPr>
            </w:pPr>
          </w:p>
        </w:tc>
        <w:tc>
          <w:tcPr>
            <w:tcW w:w="273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一般公共服务支出</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140.74</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140.74</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201</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32</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273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组织事务</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140.74</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140.74</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201</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32</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73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行政运行</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90.70</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90.70</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201</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32</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50</w:t>
            </w:r>
          </w:p>
        </w:tc>
        <w:tc>
          <w:tcPr>
            <w:tcW w:w="273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事业运行</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50.04</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50.04</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273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社会保障和就业支出</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31.27</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31.27</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273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行政事业单位养老支出</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31.27</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31.27</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73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行政单位离退休</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1.06</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1.06</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273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机关事业单位基本养老保险缴费支出</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20.14</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20.14</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w:t>
            </w:r>
          </w:p>
        </w:tc>
        <w:tc>
          <w:tcPr>
            <w:tcW w:w="273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机关事业单位职业年金缴费支出</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10.07</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10.07</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73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卫生健康支出</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11.58</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11.58</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w:t>
            </w: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73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行政事业单位医疗</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11.58</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11.58</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w:t>
            </w: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73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行政单位医疗</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5.64</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5.64</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w:t>
            </w: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73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事业单位医疗</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3.63</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3.63</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w:t>
            </w: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w:t>
            </w:r>
          </w:p>
        </w:tc>
        <w:tc>
          <w:tcPr>
            <w:tcW w:w="273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公务员医疗补助</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2.31</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2.31</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73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住房保障支出</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15.11</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15.11</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73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住房改革支出</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15.11</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15.11</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50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73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15.11</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15.11</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73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43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8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73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43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8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73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198.70</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198.70</w:t>
            </w:r>
          </w:p>
        </w:tc>
        <w:tc>
          <w:tcPr>
            <w:tcW w:w="16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autofit"/>
        <w:tblCellMar>
          <w:top w:w="0" w:type="dxa"/>
          <w:left w:w="108" w:type="dxa"/>
          <w:bottom w:w="0" w:type="dxa"/>
          <w:right w:w="108" w:type="dxa"/>
        </w:tblCellMar>
      </w:tblPr>
      <w:tblGrid>
        <w:gridCol w:w="757"/>
        <w:gridCol w:w="577"/>
        <w:gridCol w:w="2891"/>
        <w:gridCol w:w="1701"/>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编制单位：中共焉耆回族自治县委员会机构编制委员会</w:t>
            </w:r>
            <w:r>
              <w:rPr>
                <w:rFonts w:hint="default" w:ascii="Times New Roman" w:hAnsi="Times New Roman" w:eastAsia="仿宋_GB2312" w:cs="Times New Roman"/>
                <w:color w:val="auto"/>
                <w:kern w:val="0"/>
                <w:sz w:val="24"/>
                <w:highlight w:val="none"/>
                <w:lang w:val="en-US" w:eastAsia="zh-CN"/>
              </w:rPr>
              <w:t xml:space="preserve">     </w:t>
            </w:r>
            <w:r>
              <w:rPr>
                <w:rFonts w:hint="eastAsia"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合  计</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类</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18"/>
                <w:szCs w:val="18"/>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18"/>
                <w:szCs w:val="18"/>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18"/>
                <w:szCs w:val="18"/>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工资福利支出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192.0</w:t>
            </w:r>
            <w:r>
              <w:rPr>
                <w:rFonts w:hint="eastAsia" w:eastAsia="仿宋_GB2312" w:cs="Times New Roman"/>
                <w:i w:val="0"/>
                <w:color w:val="000000"/>
                <w:kern w:val="0"/>
                <w:sz w:val="20"/>
                <w:szCs w:val="20"/>
                <w:u w:val="none"/>
                <w:lang w:val="en-US" w:eastAsia="zh-CN" w:bidi="ar"/>
              </w:rPr>
              <w:t>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192.0</w:t>
            </w:r>
            <w:r>
              <w:rPr>
                <w:rFonts w:hint="eastAsia" w:eastAsia="仿宋_GB2312" w:cs="Times New Roman"/>
                <w:i w:val="0"/>
                <w:color w:val="000000"/>
                <w:kern w:val="0"/>
                <w:sz w:val="20"/>
                <w:szCs w:val="20"/>
                <w:u w:val="none"/>
                <w:lang w:val="en-US" w:eastAsia="zh-CN" w:bidi="ar"/>
              </w:rPr>
              <w:t>7</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基本工资</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63.26</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63.26</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津贴补贴</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71.1</w:t>
            </w:r>
            <w:r>
              <w:rPr>
                <w:rFonts w:hint="eastAsia" w:eastAsia="仿宋_GB2312" w:cs="Times New Roman"/>
                <w:i w:val="0"/>
                <w:color w:val="000000"/>
                <w:kern w:val="0"/>
                <w:sz w:val="20"/>
                <w:szCs w:val="20"/>
                <w:u w:val="none"/>
                <w:lang w:val="en-US" w:eastAsia="zh-CN" w:bidi="ar"/>
              </w:rPr>
              <w:t>8</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71.1</w:t>
            </w:r>
            <w:r>
              <w:rPr>
                <w:rFonts w:hint="eastAsia" w:eastAsia="仿宋_GB2312" w:cs="Times New Roman"/>
                <w:i w:val="0"/>
                <w:color w:val="000000"/>
                <w:kern w:val="0"/>
                <w:sz w:val="20"/>
                <w:szCs w:val="20"/>
                <w:u w:val="none"/>
                <w:lang w:val="en-US" w:eastAsia="zh-CN" w:bidi="ar"/>
              </w:rPr>
              <w:t>8</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20.14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20.14</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职业年金缴费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10.07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10.07</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职工基本医疗保险缴费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9.11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9.11</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公务员医疗补助缴费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2.31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2.31</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其他社会保障缴费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0.89</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0.89</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15.11</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商品与服务支出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5.5</w:t>
            </w:r>
            <w:r>
              <w:rPr>
                <w:rFonts w:hint="eastAsia" w:eastAsia="仿宋_GB2312" w:cs="Times New Roman"/>
                <w:i w:val="0"/>
                <w:color w:val="000000"/>
                <w:kern w:val="0"/>
                <w:sz w:val="20"/>
                <w:szCs w:val="20"/>
                <w:u w:val="none"/>
                <w:lang w:val="en-US" w:eastAsia="zh-CN" w:bidi="ar"/>
              </w:rPr>
              <w:t>7</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5.5</w:t>
            </w:r>
            <w:r>
              <w:rPr>
                <w:rFonts w:hint="eastAsia" w:eastAsia="仿宋_GB2312" w:cs="Times New Roman"/>
                <w:i w:val="0"/>
                <w:color w:val="000000"/>
                <w:kern w:val="0"/>
                <w:sz w:val="20"/>
                <w:szCs w:val="20"/>
                <w:u w:val="none"/>
                <w:lang w:val="en-US" w:eastAsia="zh-CN" w:bidi="ar"/>
              </w:rPr>
              <w:t>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办公费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3.03</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3.03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印刷费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0.60</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0.60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0.5</w:t>
            </w:r>
            <w:r>
              <w:rPr>
                <w:rFonts w:hint="eastAsia" w:eastAsia="仿宋_GB2312" w:cs="Times New Roman"/>
                <w:i w:val="0"/>
                <w:color w:val="000000"/>
                <w:kern w:val="0"/>
                <w:sz w:val="20"/>
                <w:szCs w:val="20"/>
                <w:u w:val="none"/>
                <w:lang w:val="en-US" w:eastAsia="zh-CN" w:bidi="ar"/>
              </w:rPr>
              <w:t>5</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0.5</w:t>
            </w:r>
            <w:r>
              <w:rPr>
                <w:rFonts w:hint="eastAsia" w:eastAsia="仿宋_GB2312" w:cs="Times New Roman"/>
                <w:i w:val="0"/>
                <w:color w:val="000000"/>
                <w:kern w:val="0"/>
                <w:sz w:val="20"/>
                <w:szCs w:val="20"/>
                <w:u w:val="none"/>
                <w:lang w:val="en-US" w:eastAsia="zh-CN" w:bidi="ar"/>
              </w:rPr>
              <w:t>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电费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0.65</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0.65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07</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邮电费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0.70</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0.70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工会经费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0.02</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福利费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color w:val="000000"/>
                <w:kern w:val="0"/>
                <w:sz w:val="20"/>
                <w:szCs w:val="20"/>
                <w:u w:val="none"/>
                <w:lang w:val="en-US" w:eastAsia="zh-CN" w:bidi="ar"/>
              </w:rPr>
              <w:t>0.0</w:t>
            </w:r>
            <w:r>
              <w:rPr>
                <w:rFonts w:hint="eastAsia" w:eastAsia="仿宋_GB2312" w:cs="Times New Roman"/>
                <w:i w:val="0"/>
                <w:color w:val="000000"/>
                <w:kern w:val="0"/>
                <w:sz w:val="20"/>
                <w:szCs w:val="20"/>
                <w:u w:val="none"/>
                <w:lang w:val="en-US" w:eastAsia="zh-CN" w:bidi="ar"/>
              </w:rPr>
              <w:t>2</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color w:val="000000"/>
                <w:kern w:val="0"/>
                <w:sz w:val="20"/>
                <w:szCs w:val="20"/>
                <w:u w:val="none"/>
                <w:lang w:val="en-US" w:eastAsia="zh-CN" w:bidi="ar"/>
              </w:rPr>
              <w:t>0.0</w:t>
            </w:r>
            <w:r>
              <w:rPr>
                <w:rFonts w:hint="eastAsia" w:eastAsia="仿宋_GB2312" w:cs="Times New Roman"/>
                <w:i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对个人和家庭补助</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color w:val="000000"/>
                <w:kern w:val="0"/>
                <w:sz w:val="20"/>
                <w:szCs w:val="20"/>
                <w:u w:val="none"/>
                <w:lang w:val="en-US" w:eastAsia="zh-CN" w:bidi="ar"/>
              </w:rPr>
              <w:t>1.0</w:t>
            </w:r>
            <w:r>
              <w:rPr>
                <w:rFonts w:hint="eastAsia" w:eastAsia="仿宋_GB2312" w:cs="Times New Roman"/>
                <w:i w:val="0"/>
                <w:color w:val="000000"/>
                <w:kern w:val="0"/>
                <w:sz w:val="20"/>
                <w:szCs w:val="20"/>
                <w:u w:val="none"/>
                <w:lang w:val="en-US" w:eastAsia="zh-CN" w:bidi="ar"/>
              </w:rPr>
              <w:t>6</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w:t>
            </w:r>
            <w:r>
              <w:rPr>
                <w:rFonts w:hint="eastAsia" w:eastAsia="仿宋_GB2312" w:cs="Times New Roman"/>
                <w:i w:val="0"/>
                <w:color w:val="000000"/>
                <w:kern w:val="0"/>
                <w:sz w:val="20"/>
                <w:szCs w:val="20"/>
                <w:u w:val="none"/>
                <w:lang w:val="en-US" w:eastAsia="zh-CN" w:bidi="ar"/>
              </w:rPr>
              <w:t>6</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退休费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w:t>
            </w:r>
            <w:r>
              <w:rPr>
                <w:rFonts w:hint="eastAsia" w:eastAsia="仿宋_GB2312" w:cs="Times New Roman"/>
                <w:i w:val="0"/>
                <w:color w:val="000000"/>
                <w:kern w:val="0"/>
                <w:sz w:val="20"/>
                <w:szCs w:val="20"/>
                <w:u w:val="none"/>
                <w:lang w:val="en-US" w:eastAsia="zh-CN" w:bidi="ar"/>
              </w:rPr>
              <w:t>6</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1.0</w:t>
            </w:r>
            <w:r>
              <w:rPr>
                <w:rFonts w:hint="eastAsia" w:eastAsia="仿宋_GB2312" w:cs="Times New Roman"/>
                <w:i w:val="0"/>
                <w:color w:val="000000"/>
                <w:kern w:val="0"/>
                <w:sz w:val="20"/>
                <w:szCs w:val="20"/>
                <w:u w:val="none"/>
                <w:lang w:val="en-US" w:eastAsia="zh-CN" w:bidi="ar"/>
              </w:rPr>
              <w:t>6</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198.70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193.1</w:t>
            </w:r>
            <w:r>
              <w:rPr>
                <w:rFonts w:hint="eastAsia" w:eastAsia="仿宋_GB2312" w:cs="Times New Roman"/>
                <w:i w:val="0"/>
                <w:color w:val="000000"/>
                <w:kern w:val="0"/>
                <w:sz w:val="20"/>
                <w:szCs w:val="20"/>
                <w:u w:val="none"/>
                <w:lang w:val="en-US" w:eastAsia="zh-CN" w:bidi="ar"/>
              </w:rPr>
              <w:t>3</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5.5</w:t>
            </w:r>
            <w:r>
              <w:rPr>
                <w:rFonts w:hint="eastAsia" w:eastAsia="仿宋_GB2312" w:cs="Times New Roman"/>
                <w:i w:val="0"/>
                <w:color w:val="000000"/>
                <w:kern w:val="0"/>
                <w:sz w:val="20"/>
                <w:szCs w:val="20"/>
                <w:u w:val="none"/>
                <w:lang w:val="en-US" w:eastAsia="zh-CN" w:bidi="ar"/>
              </w:rPr>
              <w:t>7</w:t>
            </w: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9463" w:type="dxa"/>
        <w:tblInd w:w="-360" w:type="dxa"/>
        <w:tblLayout w:type="fixed"/>
        <w:tblCellMar>
          <w:top w:w="0" w:type="dxa"/>
          <w:left w:w="108" w:type="dxa"/>
          <w:bottom w:w="0" w:type="dxa"/>
          <w:right w:w="108" w:type="dxa"/>
        </w:tblCellMar>
      </w:tblPr>
      <w:tblGrid>
        <w:gridCol w:w="8"/>
        <w:gridCol w:w="409"/>
        <w:gridCol w:w="417"/>
        <w:gridCol w:w="417"/>
        <w:gridCol w:w="828"/>
        <w:gridCol w:w="1400"/>
        <w:gridCol w:w="732"/>
        <w:gridCol w:w="561"/>
        <w:gridCol w:w="530"/>
        <w:gridCol w:w="639"/>
        <w:gridCol w:w="639"/>
        <w:gridCol w:w="618"/>
        <w:gridCol w:w="419"/>
        <w:gridCol w:w="618"/>
        <w:gridCol w:w="420"/>
        <w:gridCol w:w="420"/>
        <w:gridCol w:w="388"/>
      </w:tblGrid>
      <w:tr>
        <w:tblPrEx>
          <w:tblCellMar>
            <w:top w:w="0" w:type="dxa"/>
            <w:left w:w="108" w:type="dxa"/>
            <w:bottom w:w="0" w:type="dxa"/>
            <w:right w:w="108" w:type="dxa"/>
          </w:tblCellMar>
        </w:tblPrEx>
        <w:trPr>
          <w:gridBefore w:val="1"/>
          <w:wBefore w:w="8" w:type="dxa"/>
          <w:trHeight w:val="375" w:hRule="atLeast"/>
        </w:trPr>
        <w:tc>
          <w:tcPr>
            <w:tcW w:w="9455" w:type="dxa"/>
            <w:gridSpan w:val="1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wBefore w:w="8" w:type="dxa"/>
          <w:trHeight w:val="405" w:hRule="atLeast"/>
        </w:trPr>
        <w:tc>
          <w:tcPr>
            <w:tcW w:w="9455" w:type="dxa"/>
            <w:gridSpan w:val="1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编制单位：中共焉耆回族自治县委员会机构编制委员会</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40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3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3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38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8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eastAsia="zh-Hans"/>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732" w:type="dxa"/>
            <w:noWrap w:val="0"/>
            <w:vAlign w:val="center"/>
          </w:tcPr>
          <w:p>
            <w:pPr>
              <w:widowControl/>
              <w:jc w:val="center"/>
              <w:outlineLvl w:val="1"/>
              <w:rPr>
                <w:rFonts w:hint="default" w:ascii="Times New Roman" w:hAnsi="Times New Roman" w:eastAsia="仿宋_GB2312" w:cs="Times New Roman"/>
                <w:color w:val="auto"/>
                <w:kern w:val="0"/>
                <w:szCs w:val="21"/>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pageBreakBefore w:val="0"/>
        <w:widowControl/>
        <w:kinsoku/>
        <w:wordWrap/>
        <w:overflowPunct/>
        <w:topLinePunct w:val="0"/>
        <w:autoSpaceDE/>
        <w:autoSpaceDN/>
        <w:bidi w:val="0"/>
        <w:adjustRightInd/>
        <w:snapToGrid/>
        <w:ind w:firstLine="562" w:firstLineChars="200"/>
        <w:textAlignment w:val="auto"/>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备注：2025年</w:t>
      </w:r>
      <w:r>
        <w:rPr>
          <w:rFonts w:hint="eastAsia" w:eastAsia="仿宋_GB2312" w:cs="Times New Roman"/>
          <w:b/>
          <w:color w:val="auto"/>
          <w:kern w:val="0"/>
          <w:sz w:val="28"/>
          <w:szCs w:val="32"/>
          <w:highlight w:val="none"/>
          <w:lang w:val="en-US" w:eastAsia="zh-CN"/>
        </w:rPr>
        <w:t>本单位无</w:t>
      </w:r>
      <w:r>
        <w:rPr>
          <w:rFonts w:hint="default" w:ascii="Times New Roman" w:hAnsi="Times New Roman" w:eastAsia="仿宋_GB2312" w:cs="Times New Roman"/>
          <w:b/>
          <w:color w:val="auto"/>
          <w:kern w:val="0"/>
          <w:sz w:val="28"/>
          <w:szCs w:val="32"/>
          <w:highlight w:val="none"/>
          <w:lang w:val="en-US" w:eastAsia="zh-CN"/>
        </w:rPr>
        <w:t>一般公共预算项目支出，此表为空表。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编制单位：中共焉耆回族自治县委员会机构编制委员会</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ind w:firstLine="562" w:firstLineChars="200"/>
        <w:textAlignment w:val="auto"/>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备注：2025年</w:t>
      </w:r>
      <w:r>
        <w:rPr>
          <w:rFonts w:hint="eastAsia" w:eastAsia="仿宋_GB2312" w:cs="Times New Roman"/>
          <w:b/>
          <w:color w:val="auto"/>
          <w:kern w:val="0"/>
          <w:sz w:val="28"/>
          <w:szCs w:val="32"/>
          <w:highlight w:val="none"/>
          <w:lang w:val="en-US" w:eastAsia="zh-CN"/>
        </w:rPr>
        <w:t>本单位无</w:t>
      </w:r>
      <w:r>
        <w:rPr>
          <w:rFonts w:hint="default" w:ascii="Times New Roman" w:hAnsi="Times New Roman" w:eastAsia="仿宋_GB2312" w:cs="Times New Roman"/>
          <w:b/>
          <w:color w:val="auto"/>
          <w:kern w:val="0"/>
          <w:sz w:val="28"/>
          <w:szCs w:val="32"/>
          <w:highlight w:val="none"/>
          <w:lang w:val="en-US" w:eastAsia="zh-CN"/>
        </w:rPr>
        <w:t>政府性基金预算支出，此表为空表。</w:t>
      </w:r>
    </w:p>
    <w:p>
      <w:pPr>
        <w:widowControl/>
        <w:spacing w:line="280" w:lineRule="exact"/>
        <w:outlineLvl w:val="1"/>
        <w:rPr>
          <w:rFonts w:hint="default" w:ascii="Times New Roman" w:hAnsi="Times New Roman" w:eastAsia="仿宋_GB2312" w:cs="Times New Roman"/>
          <w:color w:val="auto"/>
          <w:kern w:val="0"/>
          <w:sz w:val="24"/>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编制单位：中共焉耆回族自治县委员会机构编制委员会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keepNext w:val="0"/>
        <w:keepLines w:val="0"/>
        <w:pageBreakBefore w:val="0"/>
        <w:widowControl/>
        <w:kinsoku/>
        <w:wordWrap/>
        <w:overflowPunct/>
        <w:topLinePunct w:val="0"/>
        <w:autoSpaceDE/>
        <w:autoSpaceDN/>
        <w:bidi w:val="0"/>
        <w:adjustRightInd/>
        <w:snapToGrid/>
        <w:ind w:firstLine="562" w:firstLineChars="200"/>
        <w:textAlignment w:val="auto"/>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2025年</w:t>
      </w:r>
      <w:r>
        <w:rPr>
          <w:rFonts w:hint="eastAsia" w:eastAsia="仿宋_GB2312" w:cs="Times New Roman"/>
          <w:b/>
          <w:color w:val="auto"/>
          <w:kern w:val="0"/>
          <w:sz w:val="28"/>
          <w:szCs w:val="32"/>
          <w:highlight w:val="none"/>
          <w:lang w:val="en-US" w:eastAsia="zh-CN"/>
        </w:rPr>
        <w:t>本单位无</w:t>
      </w:r>
      <w:r>
        <w:rPr>
          <w:rFonts w:hint="default" w:ascii="Times New Roman" w:hAnsi="Times New Roman" w:eastAsia="仿宋_GB2312" w:cs="Times New Roman"/>
          <w:b/>
          <w:color w:val="auto"/>
          <w:kern w:val="0"/>
          <w:sz w:val="28"/>
          <w:szCs w:val="32"/>
          <w:highlight w:val="none"/>
          <w:lang w:val="en-US" w:eastAsia="zh-CN"/>
        </w:rPr>
        <w:t>国有资本经营预算支出</w:t>
      </w:r>
      <w:r>
        <w:rPr>
          <w:rFonts w:hint="default" w:ascii="Times New Roman" w:hAnsi="Times New Roman" w:eastAsia="仿宋_GB2312" w:cs="Times New Roman"/>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lang w:val="en-US" w:eastAsia="zh-CN"/>
        </w:rPr>
        <w:t>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编制单位：中共焉耆回族自治县委员会机构编制委员会        单位：万元</w:t>
      </w:r>
    </w:p>
    <w:tbl>
      <w:tblPr>
        <w:tblStyle w:val="11"/>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15"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621"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ind w:firstLine="281" w:firstLineChars="10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 xml:space="preserve">        公务用车运行费</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bl>
    <w:p>
      <w:pPr>
        <w:widowControl/>
        <w:spacing w:line="280" w:lineRule="exact"/>
        <w:outlineLvl w:val="1"/>
        <w:rPr>
          <w:rFonts w:hint="default" w:ascii="Times New Roman" w:hAnsi="Times New Roman" w:eastAsia="仿宋_GB2312" w:cs="Times New Roman"/>
          <w:color w:val="auto"/>
          <w:kern w:val="0"/>
          <w:sz w:val="24"/>
          <w:highlight w:val="none"/>
        </w:rPr>
      </w:pPr>
    </w:p>
    <w:p>
      <w:pPr>
        <w:keepNext w:val="0"/>
        <w:keepLines w:val="0"/>
        <w:pageBreakBefore w:val="0"/>
        <w:widowControl/>
        <w:kinsoku/>
        <w:wordWrap/>
        <w:overflowPunct/>
        <w:topLinePunct w:val="0"/>
        <w:autoSpaceDE/>
        <w:autoSpaceDN/>
        <w:bidi w:val="0"/>
        <w:adjustRightInd/>
        <w:snapToGrid/>
        <w:ind w:firstLine="562" w:firstLineChars="200"/>
        <w:textAlignment w:val="auto"/>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2025年</w:t>
      </w:r>
      <w:r>
        <w:rPr>
          <w:rFonts w:hint="eastAsia" w:eastAsia="仿宋_GB2312" w:cs="Times New Roman"/>
          <w:b/>
          <w:color w:val="auto"/>
          <w:kern w:val="0"/>
          <w:sz w:val="28"/>
          <w:szCs w:val="32"/>
          <w:highlight w:val="none"/>
          <w:lang w:val="en-US" w:eastAsia="zh-CN"/>
        </w:rPr>
        <w:t>本单位无</w:t>
      </w:r>
      <w:r>
        <w:rPr>
          <w:rFonts w:hint="default" w:ascii="Times New Roman" w:hAnsi="Times New Roman" w:eastAsia="仿宋_GB2312" w:cs="Times New Roman"/>
          <w:b/>
          <w:color w:val="auto"/>
          <w:kern w:val="0"/>
          <w:sz w:val="28"/>
          <w:szCs w:val="32"/>
          <w:highlight w:val="none"/>
          <w:lang w:val="en-US" w:eastAsia="zh-CN"/>
        </w:rPr>
        <w:t>财政拨款“三公”经费支出</w:t>
      </w:r>
      <w:r>
        <w:rPr>
          <w:rFonts w:hint="default" w:ascii="Times New Roman" w:hAnsi="Times New Roman" w:eastAsia="仿宋_GB2312" w:cs="Times New Roman"/>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lang w:val="en-US" w:eastAsia="zh-CN"/>
        </w:rPr>
        <w:t>此表为空表。</w:t>
      </w: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left"/>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编制单位：中共焉耆回族自治县委员会机构编制委员会         单位：万元</w:t>
      </w:r>
    </w:p>
    <w:tbl>
      <w:tblPr>
        <w:tblStyle w:val="11"/>
        <w:tblpPr w:leftFromText="180" w:rightFromText="180" w:vertAnchor="text" w:horzAnchor="page" w:tblpX="1320" w:tblpY="190"/>
        <w:tblOverlap w:val="never"/>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19"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19"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19"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1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1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1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1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keepNext w:val="0"/>
        <w:keepLines w:val="0"/>
        <w:pageBreakBefore w:val="0"/>
        <w:widowControl/>
        <w:kinsoku/>
        <w:wordWrap/>
        <w:overflowPunct/>
        <w:topLinePunct w:val="0"/>
        <w:autoSpaceDE/>
        <w:autoSpaceDN/>
        <w:bidi w:val="0"/>
        <w:adjustRightInd/>
        <w:snapToGrid/>
        <w:ind w:firstLine="562" w:firstLineChars="200"/>
        <w:textAlignment w:val="auto"/>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2025年</w:t>
      </w:r>
      <w:r>
        <w:rPr>
          <w:rFonts w:hint="eastAsia" w:eastAsia="仿宋_GB2312" w:cs="Times New Roman"/>
          <w:b/>
          <w:color w:val="auto"/>
          <w:kern w:val="0"/>
          <w:sz w:val="28"/>
          <w:szCs w:val="32"/>
          <w:highlight w:val="none"/>
          <w:lang w:val="en-US" w:eastAsia="zh-CN"/>
        </w:rPr>
        <w:t>本单位无</w:t>
      </w:r>
      <w:r>
        <w:rPr>
          <w:rFonts w:hint="default" w:eastAsia="仿宋_GB2312" w:cs="Times New Roman"/>
          <w:b/>
          <w:color w:val="auto"/>
          <w:kern w:val="0"/>
          <w:sz w:val="28"/>
          <w:szCs w:val="32"/>
          <w:highlight w:val="none"/>
          <w:lang w:val="en-US" w:eastAsia="zh-Hans"/>
        </w:rPr>
        <w:t>上年结转</w:t>
      </w:r>
      <w:r>
        <w:rPr>
          <w:rFonts w:hint="default" w:eastAsia="仿宋_GB2312" w:cs="Times New Roman"/>
          <w:b/>
          <w:color w:val="auto"/>
          <w:kern w:val="0"/>
          <w:sz w:val="28"/>
          <w:szCs w:val="32"/>
          <w:highlight w:val="none"/>
          <w:lang w:val="en-US" w:eastAsia="zh-CN"/>
        </w:rPr>
        <w:t>结余，此表为空表。</w:t>
      </w:r>
    </w:p>
    <w:p>
      <w:pPr>
        <w:widowControl/>
        <w:outlineLvl w:val="1"/>
        <w:rPr>
          <w:rFonts w:hint="default" w:ascii="Times New Roman" w:hAnsi="Times New Roman" w:eastAsia="仿宋_GB2312" w:cs="Times New Roman"/>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一、关于中共焉耆回族自治县委员会机构编制委员会2025年收支预算情况的总体说明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按照全口径预算的原则，中共焉耆回族自治县委员会机构编制委员会2025年所有收入和支出均纳入单位预算管理。收支总预算198.70万元。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一般公共服务支出、社会保障和就业支出、卫生健康支出、住房保障支出。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二、关于中共焉耆回族自治县委员会机构编制委员会2025年收入预算情况说明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中共焉耆回族自治县委员会机构编制委员会收入预算198.70万元，其中：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一般公共预算198.70万元，占100%，比上年预算增加198.70万元，增长100%，主要原因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本年度县委编办从县委办分离，独立核算，为新增加预算单位。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r>
        <w:rPr>
          <w:rFonts w:hint="default" w:ascii="Times New Roman" w:hAnsi="Times New Roman" w:eastAsia="楷体_GB2312" w:cs="Times New Roman"/>
          <w:b/>
          <w:bCs/>
          <w:color w:val="auto"/>
          <w:kern w:val="0"/>
          <w:sz w:val="32"/>
          <w:szCs w:val="32"/>
          <w:highlight w:val="none"/>
          <w:lang w:val="en-US" w:eastAsia="zh-CN"/>
        </w:rPr>
        <w:t>三、关于中共焉耆回族自治县委员会机构编制委员会2025年支出预算情况说明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中共焉耆回族自治县委员会机构编制委员会支出预算    </w:t>
      </w:r>
      <w:r>
        <w:rPr>
          <w:rFonts w:hint="default" w:ascii="Times New Roman" w:hAnsi="Times New Roman" w:eastAsia="仿宋_GB2312" w:cs="Times New Roman"/>
          <w:color w:val="auto"/>
          <w:kern w:val="0"/>
          <w:sz w:val="32"/>
          <w:szCs w:val="32"/>
          <w:highlight w:val="none"/>
          <w:lang w:val="en-US" w:eastAsia="zh-CN"/>
        </w:rPr>
        <w:t>198.70</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198.70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198.70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本年度县委编办从县委办分离，独立核算，为新增加预算单位</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项目支出0万元，比上年预算增加0万元，增长0%，主要原因是：本年度</w:t>
      </w:r>
      <w:r>
        <w:rPr>
          <w:rFonts w:hint="eastAsia" w:eastAsia="仿宋_GB2312" w:cs="Times New Roman"/>
          <w:color w:val="auto"/>
          <w:kern w:val="0"/>
          <w:sz w:val="32"/>
          <w:szCs w:val="32"/>
          <w:highlight w:val="none"/>
          <w:lang w:val="en-US" w:eastAsia="zh-CN"/>
        </w:rPr>
        <w:t>没有项目支出预算安排。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四、关于中共焉耆回族自治县委员会机构编制委员会2025年财政拨款收支预算情况的总体说明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2025年财政拨款收支总预算198.70万元。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收入预算包括：一般公共预算拨款198.70万元。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一般公共服务支出140.74万元，主要用于职工工资津贴、公用经费等支出。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社会保障和就业支出31.27万元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主要用于机关事业单位基本养老保险缴费支出、机关事业单位职业年金缴费、单位离退休支出、遗属生活费等支出。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卫生健康支出11.58万元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主要用于行政事业单位医疗支出、公务员医疗补助等支出。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住房保障支出15.1</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万元，主要用于人员住房公积金支出。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五、关于中共焉耆回族自治县委员会机构编制委员会2025年一般公共预算当年拨款情况说明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中共焉耆回族自治县委员会机构编制委员会2025年一般公共预算拨款合计198.70万元，其中：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基本支出198.70万元，比上年预算增加198.70万元，增长100%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本年度县委编办从县委办分离，独立核算，为新增加预算单位。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rPr>
      </w:pPr>
      <w:r>
        <w:rPr>
          <w:rFonts w:hint="default" w:ascii="Times New Roman" w:hAnsi="Times New Roman" w:eastAsia="仿宋_GB2312" w:cs="Times New Roman"/>
          <w:color w:val="auto"/>
          <w:kern w:val="0"/>
          <w:sz w:val="32"/>
          <w:szCs w:val="32"/>
          <w:highlight w:val="none"/>
          <w:lang w:val="en-US" w:eastAsia="zh-CN"/>
        </w:rPr>
        <w:t>项目支出0万元，比上年预算数增加0万元，增长100%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w:t>
      </w:r>
      <w:r>
        <w:rPr>
          <w:rFonts w:hint="eastAsia" w:eastAsia="仿宋_GB2312" w:cs="Times New Roman"/>
          <w:color w:val="auto"/>
          <w:kern w:val="0"/>
          <w:sz w:val="32"/>
          <w:szCs w:val="32"/>
          <w:highlight w:val="none"/>
          <w:lang w:val="en-US" w:eastAsia="zh-CN"/>
        </w:rPr>
        <w:t>没有项目支出预算安排。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1.一般公共服务支出（类）140.74万元，占70.83%。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2.社会保障和就业支出（类）31.27万元，占15.74%。</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3.卫生健康支出（类）11.58万元，占5.83%。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4.住房保障支出（类）15.11万元，占7.6</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yellow"/>
          <w:lang w:val="en-US" w:eastAsia="zh-CN"/>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1.一般公共服务支出（类）组织事务（款）行政运行(项)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2025年预算数为90.70万元，比上年预算增加90.70万元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增长100%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主要原因是本年度县委编办从县委办分离，独立核算，为新增加预算单位。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2.一般公共服务支出（类）组织事务（款）事业运行(项)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2025年预算数为50.04万元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比上年预算增加50.04万元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增长100%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主要原因是本年度县委编办从县委办分离，独立核算，为新增加预算单位。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3.社会保障和就业支出（类）行政事业单位养老支出（款）行政单位离退休(项)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w:t>
      </w:r>
      <w:r>
        <w:rPr>
          <w:rFonts w:hint="eastAsia" w:eastAsia="仿宋_GB2312" w:cs="Times New Roman"/>
          <w:color w:val="auto"/>
          <w:kern w:val="0"/>
          <w:sz w:val="32"/>
          <w:szCs w:val="32"/>
          <w:highlight w:val="none"/>
          <w:lang w:val="en-US" w:eastAsia="zh-CN"/>
        </w:rPr>
        <w:t>1.06</w:t>
      </w:r>
      <w:r>
        <w:rPr>
          <w:rFonts w:hint="default" w:ascii="Times New Roman" w:hAnsi="Times New Roman" w:eastAsia="仿宋_GB2312" w:cs="Times New Roman"/>
          <w:color w:val="auto"/>
          <w:kern w:val="0"/>
          <w:sz w:val="32"/>
          <w:szCs w:val="32"/>
          <w:highlight w:val="none"/>
          <w:lang w:val="en-US" w:eastAsia="zh-CN"/>
        </w:rPr>
        <w:t>万元，比上年预算增加</w:t>
      </w:r>
      <w:r>
        <w:rPr>
          <w:rFonts w:hint="eastAsia" w:eastAsia="仿宋_GB2312" w:cs="Times New Roman"/>
          <w:color w:val="auto"/>
          <w:kern w:val="0"/>
          <w:sz w:val="32"/>
          <w:szCs w:val="32"/>
          <w:highlight w:val="none"/>
          <w:lang w:val="en-US" w:eastAsia="zh-CN"/>
        </w:rPr>
        <w:t>1.06</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增长100%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主要原因是本年度县委编办从县委办分离，独立核算，为新增加预算单位。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4.社会保障和就业支出（类）行政事业单位养老支出（款）机关事业单位基本养老保险缴费支出(项)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2025年预算数为20.14万元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比上年预算增加20.14万元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增长100%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主要原因是本年度县委编办从县委办分离，独立核算，为新增加预算单位。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.社会保障和就业支出（类）行政事业单位养老支出（款）机关事业单位职业年金缴费支出(项)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2025年预算数为10.07万元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比上年预算增加10.07万元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增长100%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主要原因是本年度县委编办从县委办分离，独立核算，为新增加预算单位。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.卫生健康支出（类）行政事业单位医疗（款）行政单位医疗(项)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2025年预算数为5.64万元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比上年预算增加5.64万元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增长100%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主要原因是本年度县委编办从县委办分离，独立核算，为新增加预算单位。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.卫生健康支出（类）行政事业单位医疗（款）事业单位医疗(项)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2025年预算数为3.63万元，比上年预算增加3.63万元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增长100%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主要原因是本年度县委编办从县委办分离，独立核算，为新增加预算单位。</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.卫生健康支出（类）行政事业单位医疗（款）公务员医疗补助(项)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2025年预算数为2.31万元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比上年预算增加2.31万元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增长100%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 xml:space="preserve">主要原因是本年度县委编办从县委办分离，独立核算，为新增加预算单位。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.住房保障支出（类）住房改革支出（款）住房公积金(项)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2025年预算数为15.11万元，比上年预算增加15.1</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增长100%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主要原因是本年度县委编办从县委办分离，独立核算，为新增加预算单位。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六、关于中共焉耆回族自治县委员会机构编制委员会2025年一般公共预算基本支出情况说明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中共焉耆回族自治县委员会机构编制委员会2025年一般公共预算基本支出198.70万元，其中：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人员经费193.1</w:t>
      </w:r>
      <w:r>
        <w:rPr>
          <w:rFonts w:hint="eastAsia" w:eastAsia="仿宋_GB2312" w:cs="Times New Roman"/>
          <w:color w:val="auto"/>
          <w:spacing w:val="-6"/>
          <w:kern w:val="0"/>
          <w:sz w:val="32"/>
          <w:szCs w:val="32"/>
          <w:highlight w:val="none"/>
          <w:lang w:val="en-US" w:eastAsia="zh-CN"/>
        </w:rPr>
        <w:t>3</w:t>
      </w:r>
      <w:r>
        <w:rPr>
          <w:rFonts w:hint="default" w:ascii="Times New Roman" w:hAnsi="Times New Roman" w:eastAsia="仿宋_GB2312" w:cs="Times New Roman"/>
          <w:color w:val="auto"/>
          <w:spacing w:val="-6"/>
          <w:kern w:val="0"/>
          <w:sz w:val="32"/>
          <w:szCs w:val="32"/>
          <w:highlight w:val="none"/>
          <w:lang w:val="en-US" w:eastAsia="zh-CN"/>
        </w:rPr>
        <w:t>万元，主要包括</w:t>
      </w:r>
      <w:r>
        <w:rPr>
          <w:rFonts w:hint="eastAsia"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基本工资、津贴补贴、机关事业单位基本养老保险缴费、职业年金缴费、职工基本医疗保险缴费、公务员医疗补助缴费、其他社会保障缴费、住房公积金、退休费。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公用经费5.57万元，主要包括</w:t>
      </w:r>
      <w:r>
        <w:rPr>
          <w:rFonts w:hint="eastAsia"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办公费、印刷费、水费、电费、邮电费、工会经费、福利费。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七、关于中共焉耆回族自治县委员会机构编制委员会2025年一般公共预算项目支出情况说明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中共焉耆回族自治县委员会机构编制委员会2025年没有使用一般公共预算项目支出，一般公共预算项目支出情况表为空表</w:t>
      </w:r>
      <w:r>
        <w:rPr>
          <w:rFonts w:hint="default" w:ascii="Times New Roman" w:hAnsi="Times New Roman" w:eastAsia="仿宋_GB2312" w:cs="Times New Roman"/>
          <w:color w:val="auto"/>
          <w:spacing w:val="-6"/>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八、关于中共焉耆回族自治县委员会机构编制委员会2025年政府性基金预算支出情况</w:t>
      </w:r>
      <w:r>
        <w:rPr>
          <w:rFonts w:hint="eastAsia" w:eastAsia="楷体_GB2312" w:cs="Times New Roman"/>
          <w:b/>
          <w:bCs/>
          <w:color w:val="auto"/>
          <w:kern w:val="0"/>
          <w:sz w:val="32"/>
          <w:szCs w:val="32"/>
          <w:highlight w:val="none"/>
          <w:lang w:val="en-US" w:eastAsia="zh-CN"/>
        </w:rPr>
        <w:t xml:space="preserve">说明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中共焉耆回族自治县委员会机构编制委员会2025年没有使用政府性基金预算拨款安排的支出，政府性基金预算支出情况表为空表。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九、关于中共焉耆回族自治县委员会机构编制委员会2025年国有资本经营预算拨款情况说明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中共焉耆回族自治县委员会机构编制委员会2025年没有使用国有资本经营预算拨款安排的支出，国有资本经营预算支出情况表为空表。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十、关于中共焉耆回族自治县委员会机构编制委员会2025年财政拨款“三公”经费预算情况说明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中共焉耆回族自治县委员会机构编制委员会2025年财政拨款“三公”经费数为0万元，其中：因公出国（境）费0万元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公务用车购置费0万元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公务用车运行费0万元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其中：因公出国（境）费增加0万元，增长0%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主要原因是：2025年预算未安排因公出国（境）费。公务用车购置费增加0万元，增长0%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主要原因是2025年预算未安排公务用车购置费。公务用车运行费增加0万元，增长0%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主要原因是：2025年预算未安排公务用车运行费。公务接待费增加0万元，增长0%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主要原因是2025年预算未安排公务接待费。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、关于中共焉耆回族自治县委员会机构编制委员会</w:t>
      </w:r>
      <w:r>
        <w:rPr>
          <w:rFonts w:hint="default" w:ascii="Times New Roman" w:hAnsi="Times New Roman" w:eastAsia="楷体_GB2312" w:cs="Times New Roman"/>
          <w:b/>
          <w:bCs/>
          <w:color w:val="auto"/>
          <w:kern w:val="0"/>
          <w:sz w:val="32"/>
          <w:szCs w:val="32"/>
          <w:highlight w:val="none"/>
          <w:lang w:val="en-US" w:eastAsia="zh-CN"/>
        </w:rPr>
        <w:t>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中共焉耆回族自治县委员会机构编制委员会2025年没有上年结转结余预算的支出，上年结转结余情况明细表为空表。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yellow"/>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中共焉耆回族自治县委员会机构编制委员会2025年的机关运行经费财政拨款预算5.57万元，比上年预算增加5.57万元，增长100%。主要原因是本年度县委编办从县委办分离，独立核算，为新增加预算单位。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2025年，中共焉耆回族自治县委员会机构编制委员会政府采购预算2.62万元，其中：政府采购货物预算2.62万元，政府采购工程预算0万元，政府采购服务预算0万元。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2025年，中共焉耆回族自治县委员会机构编制委员会面向中小企业预留政府采购项目预算金额2.62万元，小微企业预留政府采购项目预算金额2.62万元。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截至2024年底，中共焉耆回族自治县委员会机构编制委员会及下属各预算单位占用使用国有资产总体情况为：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1.房屋0平方米，价值0万元。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3.办公家具价值4.50万元。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4.其他资产价值19.3万元。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本单位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整体预算绩效目标1个，涉及金额198.7</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lang w:val="en-US" w:eastAsia="zh-CN"/>
        </w:rPr>
        <w:t>万元；当年预算安排项目共0个，其中</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涉及预算金额0万元；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r>
        <w:rPr>
          <w:rFonts w:hint="default" w:ascii="Times New Roman" w:hAnsi="Times New Roman" w:eastAsia="仿宋_GB2312" w:cs="Times New Roman"/>
          <w:kern w:val="0"/>
          <w:sz w:val="32"/>
          <w:szCs w:val="32"/>
          <w:highlight w:val="none"/>
          <w:lang w:eastAsia="zh-CN"/>
        </w:rPr>
        <w:t>（按项目分别填报）</w:t>
      </w:r>
      <w:r>
        <w:rPr>
          <w:rFonts w:hint="default" w:ascii="Times New Roman" w:hAnsi="Times New Roman" w:eastAsia="仿宋_GB2312" w:cs="Times New Roman"/>
          <w:kern w:val="0"/>
          <w:sz w:val="32"/>
          <w:szCs w:val="32"/>
          <w:highlight w:val="none"/>
        </w:rPr>
        <w:t>：</w:t>
      </w: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中共焉耆回族自治县委员会机构编制委员会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kern w:val="0"/>
                <w:sz w:val="20"/>
                <w:szCs w:val="20"/>
                <w:highlight w:val="none"/>
                <w:u w:val="none"/>
                <w:lang w:val="en-US" w:eastAsia="zh-CN" w:bidi="ar"/>
              </w:rPr>
              <w:t>马歆文</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18109960060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Times New Roman" w:hAnsi="Times New Roman" w:eastAsia="宋体" w:cs="Times New Roman"/>
                <w:i w:val="0"/>
                <w:iCs w:val="0"/>
                <w:color w:val="000000"/>
                <w:sz w:val="20"/>
                <w:szCs w:val="20"/>
                <w:highlight w:val="none"/>
                <w:u w:val="none"/>
                <w:lang w:eastAsia="zh-CN"/>
              </w:rPr>
            </w:pPr>
            <w:r>
              <w:rPr>
                <w:rFonts w:hint="eastAsia" w:ascii="Times New Roman" w:hAnsi="Times New Roman" w:eastAsia="宋体" w:cs="Times New Roman"/>
                <w:i w:val="0"/>
                <w:iCs w:val="0"/>
                <w:color w:val="000000"/>
                <w:kern w:val="0"/>
                <w:sz w:val="20"/>
                <w:szCs w:val="20"/>
                <w:highlight w:val="none"/>
                <w:u w:val="none"/>
                <w:lang w:val="en-US" w:eastAsia="zh-CN" w:bidi="ar"/>
              </w:rPr>
              <w:t>焉耆县委编办聚焦中心大局，持续深化改革创新，坚决落实党中央深化改革重大决策部署，扎实做好重点领域机构职能调整优化，高质量完成全面建立乡镇履职事项清单工作，圆满完成事业单位改革，继续抓好议事协调机构的整治和清理工作，为全县安全和发展提供机构保障。一是深化党的理论武装，每年集中学习次数不少于12次。二是建强党的基层组织，开展主题党日活动12次。三是做好机构编制工作，按照州委编办要求，完成2024年度全年统计工作。四是开展好业务指导，面向乡镇、县直部门开展专题培训，每年至少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1200" w:firstLineChars="600"/>
              <w:jc w:val="left"/>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198.7</w:t>
            </w:r>
            <w:r>
              <w:rPr>
                <w:rFonts w:hint="eastAsia"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组织学习次数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&gt;=12次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开展主题党日活动</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=12次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机构编制2024年度全年统计工作</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开展业务指导工作</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&gt;=2次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default" w:ascii="Times New Roman" w:hAnsi="Times New Roman" w:eastAsia="黑体"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本单位无其他需说明的事项。</w:t>
      </w:r>
    </w:p>
    <w:p>
      <w:pPr>
        <w:rPr>
          <w:rFonts w:hint="default" w:ascii="Times New Roman" w:hAnsi="Times New Roman" w:eastAsia="黑体" w:cs="Times New Roman"/>
          <w:kern w:val="0"/>
          <w:sz w:val="32"/>
          <w:szCs w:val="32"/>
          <w:highlight w:val="none"/>
        </w:rPr>
      </w:pPr>
      <w:r>
        <w:rPr>
          <w:rFonts w:hint="default" w:ascii="Times New Roman" w:hAnsi="Times New Roman" w:cs="Times New Roman"/>
        </w:rPr>
        <w:br w:type="page"/>
      </w:r>
      <w:bookmarkStart w:id="5" w:name="_GoBack"/>
      <w:bookmarkEnd w:id="5"/>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中共焉耆回族自治县委员会机构编制委员会</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p>
      <w:pPr>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_x0000_s001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7"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IbmMX/oAQAA&#10;9AMAAA4AAAAAAAAAAQAgAAAAHwEAAGRycy9lMm9Eb2MueG1sUEsFBgAAAAAGAAYAWQEAAHkFAAAA&#10;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_x0000_s00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g/J6zoAQAA9Q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PAlgTlueNPQ8m/JyrL5Tob1EequO4xHnDe&#10;EYdZ7dCiz/+sQwyjqddnU82QhObkcr1ar0sG13x22zBO8fJ5REpfDXiRg1oid200U13uKU2lt5J8&#10;W4C9dY7zqnLhVYIxc6bIjCeOOUrDcZiJH6G5sl6EaRAo6r3lO+8VpYNC7jzz5LeRHnhpHfS1hDmS&#10;ogP89a98rueG8KkUPU9SLQM/HCnct8CNYsB0C/AWHG+BCpo/rGWS4hzRnrqRV9ZE8cs5sdBRf1Yx&#10;UZ/F8TSMDs6Tm8ftz/1Y9fJat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Ig/J6zoAQAA&#10;9QMAAA4AAAAAAAAAAQAgAAAAHwEAAGRycy9lMm9Eb2MueG1sUEsFBgAAAAAGAAYAWQEAAHkFAAAA&#10;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F40F99"/>
    <w:rsid w:val="01C2149F"/>
    <w:rsid w:val="01DE14D0"/>
    <w:rsid w:val="01FF3D1B"/>
    <w:rsid w:val="025D334C"/>
    <w:rsid w:val="039609DB"/>
    <w:rsid w:val="04492BE2"/>
    <w:rsid w:val="05090872"/>
    <w:rsid w:val="05D25E5B"/>
    <w:rsid w:val="06A014D7"/>
    <w:rsid w:val="07401BC2"/>
    <w:rsid w:val="08C52C68"/>
    <w:rsid w:val="099E7EAB"/>
    <w:rsid w:val="09C575B4"/>
    <w:rsid w:val="09E85567"/>
    <w:rsid w:val="0ACF70C5"/>
    <w:rsid w:val="0BC0690F"/>
    <w:rsid w:val="0BD311D0"/>
    <w:rsid w:val="0C57231F"/>
    <w:rsid w:val="0CFF4644"/>
    <w:rsid w:val="0D061F05"/>
    <w:rsid w:val="0E67300B"/>
    <w:rsid w:val="0E781BAB"/>
    <w:rsid w:val="0EAD00AF"/>
    <w:rsid w:val="0ECE20AE"/>
    <w:rsid w:val="0ED14980"/>
    <w:rsid w:val="11625DBC"/>
    <w:rsid w:val="11CA7B00"/>
    <w:rsid w:val="11FC7257"/>
    <w:rsid w:val="121D2490"/>
    <w:rsid w:val="127279EF"/>
    <w:rsid w:val="135A6B89"/>
    <w:rsid w:val="13871AF4"/>
    <w:rsid w:val="16C1714E"/>
    <w:rsid w:val="171715CE"/>
    <w:rsid w:val="178B4F35"/>
    <w:rsid w:val="17F3571A"/>
    <w:rsid w:val="18A569B2"/>
    <w:rsid w:val="18BF6785"/>
    <w:rsid w:val="19707FD1"/>
    <w:rsid w:val="1A9D5276"/>
    <w:rsid w:val="1AB443E8"/>
    <w:rsid w:val="1B2101FE"/>
    <w:rsid w:val="1BB872D6"/>
    <w:rsid w:val="1BC8463E"/>
    <w:rsid w:val="1C19378A"/>
    <w:rsid w:val="1CB47033"/>
    <w:rsid w:val="1CDD7682"/>
    <w:rsid w:val="1DFB1BE4"/>
    <w:rsid w:val="1E404792"/>
    <w:rsid w:val="1FFB4B7A"/>
    <w:rsid w:val="204E4308"/>
    <w:rsid w:val="211D409E"/>
    <w:rsid w:val="217016C4"/>
    <w:rsid w:val="21EA1921"/>
    <w:rsid w:val="22614514"/>
    <w:rsid w:val="22EA1F9A"/>
    <w:rsid w:val="231163AA"/>
    <w:rsid w:val="23F13097"/>
    <w:rsid w:val="24021299"/>
    <w:rsid w:val="24182C79"/>
    <w:rsid w:val="249911A0"/>
    <w:rsid w:val="24BC1F7F"/>
    <w:rsid w:val="25666130"/>
    <w:rsid w:val="257515DD"/>
    <w:rsid w:val="262056E2"/>
    <w:rsid w:val="26CF4468"/>
    <w:rsid w:val="278008E4"/>
    <w:rsid w:val="27A00075"/>
    <w:rsid w:val="28434EE2"/>
    <w:rsid w:val="28C83D7C"/>
    <w:rsid w:val="29356609"/>
    <w:rsid w:val="29C15EA9"/>
    <w:rsid w:val="2AE53B76"/>
    <w:rsid w:val="2B34573D"/>
    <w:rsid w:val="2BCB630B"/>
    <w:rsid w:val="2D09219A"/>
    <w:rsid w:val="2D0C6741"/>
    <w:rsid w:val="2DEC22F4"/>
    <w:rsid w:val="2E190A0D"/>
    <w:rsid w:val="2F2B2682"/>
    <w:rsid w:val="2F5C6ECA"/>
    <w:rsid w:val="2FF1095C"/>
    <w:rsid w:val="303D4CAF"/>
    <w:rsid w:val="30A15979"/>
    <w:rsid w:val="31D508D1"/>
    <w:rsid w:val="31E364DD"/>
    <w:rsid w:val="31F939B6"/>
    <w:rsid w:val="32196005"/>
    <w:rsid w:val="3276070E"/>
    <w:rsid w:val="34304410"/>
    <w:rsid w:val="34B24EEF"/>
    <w:rsid w:val="34C227D5"/>
    <w:rsid w:val="35786E16"/>
    <w:rsid w:val="35B371E6"/>
    <w:rsid w:val="365E7F93"/>
    <w:rsid w:val="36EF7678"/>
    <w:rsid w:val="371022B5"/>
    <w:rsid w:val="37A6141C"/>
    <w:rsid w:val="37B37D83"/>
    <w:rsid w:val="385B2E74"/>
    <w:rsid w:val="38831FB7"/>
    <w:rsid w:val="39195929"/>
    <w:rsid w:val="39BC2E08"/>
    <w:rsid w:val="39F94929"/>
    <w:rsid w:val="3ACC0CF3"/>
    <w:rsid w:val="3AEE040E"/>
    <w:rsid w:val="3BD138E1"/>
    <w:rsid w:val="3BE7012D"/>
    <w:rsid w:val="3C653EF2"/>
    <w:rsid w:val="3C684B02"/>
    <w:rsid w:val="3D1D648F"/>
    <w:rsid w:val="3D7060A6"/>
    <w:rsid w:val="3DE60F62"/>
    <w:rsid w:val="3EE05E68"/>
    <w:rsid w:val="3F0D6324"/>
    <w:rsid w:val="3F4114E5"/>
    <w:rsid w:val="404448BC"/>
    <w:rsid w:val="41E63DDE"/>
    <w:rsid w:val="41F45FCD"/>
    <w:rsid w:val="42C23B98"/>
    <w:rsid w:val="43440E37"/>
    <w:rsid w:val="434D78C8"/>
    <w:rsid w:val="437F6A01"/>
    <w:rsid w:val="447C1FFF"/>
    <w:rsid w:val="45585877"/>
    <w:rsid w:val="458D1369"/>
    <w:rsid w:val="459C47D6"/>
    <w:rsid w:val="46E11145"/>
    <w:rsid w:val="48480255"/>
    <w:rsid w:val="48504D70"/>
    <w:rsid w:val="49976857"/>
    <w:rsid w:val="499F4667"/>
    <w:rsid w:val="4A3500F5"/>
    <w:rsid w:val="4B2009A5"/>
    <w:rsid w:val="4B2877BE"/>
    <w:rsid w:val="4C170F96"/>
    <w:rsid w:val="4C3B4A64"/>
    <w:rsid w:val="4E140037"/>
    <w:rsid w:val="4E284029"/>
    <w:rsid w:val="4E297ED1"/>
    <w:rsid w:val="4E2F4580"/>
    <w:rsid w:val="4F2E4ACA"/>
    <w:rsid w:val="4F906525"/>
    <w:rsid w:val="503628EF"/>
    <w:rsid w:val="503A03AC"/>
    <w:rsid w:val="508A27CB"/>
    <w:rsid w:val="50AF5D9A"/>
    <w:rsid w:val="50CD6C30"/>
    <w:rsid w:val="51032D76"/>
    <w:rsid w:val="511D2497"/>
    <w:rsid w:val="513D35E8"/>
    <w:rsid w:val="51D233DC"/>
    <w:rsid w:val="51DA4960"/>
    <w:rsid w:val="5254679A"/>
    <w:rsid w:val="5273171B"/>
    <w:rsid w:val="52AE738A"/>
    <w:rsid w:val="52C743B3"/>
    <w:rsid w:val="52F75F04"/>
    <w:rsid w:val="53666519"/>
    <w:rsid w:val="544F471B"/>
    <w:rsid w:val="54516861"/>
    <w:rsid w:val="54B22E7B"/>
    <w:rsid w:val="54CD30CC"/>
    <w:rsid w:val="552E3FDD"/>
    <w:rsid w:val="553F6FB4"/>
    <w:rsid w:val="56012225"/>
    <w:rsid w:val="56B10D03"/>
    <w:rsid w:val="56EC1843"/>
    <w:rsid w:val="58A5082B"/>
    <w:rsid w:val="5A8D2F8F"/>
    <w:rsid w:val="5C4027AB"/>
    <w:rsid w:val="5D320F51"/>
    <w:rsid w:val="5D363174"/>
    <w:rsid w:val="5DD16DD4"/>
    <w:rsid w:val="5DDF7A86"/>
    <w:rsid w:val="5DE176D6"/>
    <w:rsid w:val="5E0D57E5"/>
    <w:rsid w:val="5E2B0C9C"/>
    <w:rsid w:val="5E921FFD"/>
    <w:rsid w:val="5EC21CFC"/>
    <w:rsid w:val="5EE154E2"/>
    <w:rsid w:val="5EF14839"/>
    <w:rsid w:val="5F9F4BE8"/>
    <w:rsid w:val="5FCE47E1"/>
    <w:rsid w:val="608674BF"/>
    <w:rsid w:val="60A54E31"/>
    <w:rsid w:val="61D4261E"/>
    <w:rsid w:val="63541407"/>
    <w:rsid w:val="63B87155"/>
    <w:rsid w:val="660846E6"/>
    <w:rsid w:val="67236971"/>
    <w:rsid w:val="67B823E8"/>
    <w:rsid w:val="67C23101"/>
    <w:rsid w:val="68115792"/>
    <w:rsid w:val="6841517B"/>
    <w:rsid w:val="68727181"/>
    <w:rsid w:val="69014A26"/>
    <w:rsid w:val="69356F93"/>
    <w:rsid w:val="6ADF6936"/>
    <w:rsid w:val="6B992C8C"/>
    <w:rsid w:val="6BF735A3"/>
    <w:rsid w:val="6D6369BF"/>
    <w:rsid w:val="6DFF04B8"/>
    <w:rsid w:val="6E1154E3"/>
    <w:rsid w:val="6E985F41"/>
    <w:rsid w:val="6E9A0BA9"/>
    <w:rsid w:val="6EDC0EFE"/>
    <w:rsid w:val="6F0D757C"/>
    <w:rsid w:val="6F2953E2"/>
    <w:rsid w:val="6F745C1F"/>
    <w:rsid w:val="6F751544"/>
    <w:rsid w:val="708B200C"/>
    <w:rsid w:val="722C5D50"/>
    <w:rsid w:val="72FE23DD"/>
    <w:rsid w:val="73571A17"/>
    <w:rsid w:val="74642E57"/>
    <w:rsid w:val="752036B8"/>
    <w:rsid w:val="754D2912"/>
    <w:rsid w:val="75A2668B"/>
    <w:rsid w:val="76220859"/>
    <w:rsid w:val="76721AF9"/>
    <w:rsid w:val="76F74ED9"/>
    <w:rsid w:val="77BC31B5"/>
    <w:rsid w:val="78DE2F09"/>
    <w:rsid w:val="793D18F3"/>
    <w:rsid w:val="7A920DAE"/>
    <w:rsid w:val="7B627DF6"/>
    <w:rsid w:val="7C3D1E54"/>
    <w:rsid w:val="7CB21B22"/>
    <w:rsid w:val="7E133389"/>
    <w:rsid w:val="7E4E5EE9"/>
    <w:rsid w:val="7E8E44DD"/>
    <w:rsid w:val="7E982318"/>
    <w:rsid w:val="7EC10315"/>
    <w:rsid w:val="7F3B646E"/>
    <w:rsid w:val="7F950252"/>
    <w:rsid w:val="7F9F3159"/>
    <w:rsid w:val="7FDE179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预算公开正文内容"/>
    <w:basedOn w:val="12"/>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1d339-b68a-4425-b4be-da604322f2f1}">
  <ds:schemaRefs/>
</ds:datastoreItem>
</file>

<file path=customXml/itemProps3.xml><?xml version="1.0" encoding="utf-8"?>
<ds:datastoreItem xmlns:ds="http://schemas.openxmlformats.org/officeDocument/2006/customXml" ds:itemID="{406b2ee9-f0a5-48e8-9a3d-7c239ac05daf}">
  <ds:schemaRefs/>
</ds:datastoreItem>
</file>

<file path=customXml/itemProps4.xml><?xml version="1.0" encoding="utf-8"?>
<ds:datastoreItem xmlns:ds="http://schemas.openxmlformats.org/officeDocument/2006/customXml" ds:itemID="{34d7434e-f991-42e5-890d-ab6898298d2c}">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2025-04-08T09:46:00Z</cp:lastPrinted>
  <dcterms:modified xsi:type="dcterms:W3CDTF">2025-04-28T03:33:35Z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116CE4817D234915B025E5812F1BA33B_12</vt:lpwstr>
  </property>
</Properties>
</file>