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中国共产党焉耆回族自治县委员会党校</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一、关于中国共产党焉耆回族自治县委员会党校2025年收支预算情况的总体说明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二、关于中国共产党焉耆回族自治县委员会党校2025年收入预算情况说明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三、关于中国共产党焉耆回族自治县委员会党校2025年支出预算情况说明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四、关于中国共产党焉耆回族自治县委员会党校2025年财政拨款收支预算情况的总体说明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五、关于中国共产党焉耆回族自治县委员会党校2025年一般公共预算当年拨款情况说明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六、关于中国共产党焉耆回族自治县委员会党校2025年一般公共预算基本支出情况说明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七、关于中国共产党焉耆回族自治县委员会党校2025年一般公共预算项目支出情况说明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八、关于中国共产党焉耆回族自治县委员会党校2025年政府性基金预算拨款情况说明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九、关于中国共产党焉耆回族自治县委员会党校2025年国有资本经营预算拨款情况说明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十、关于中国共产党焉耆回族自治县委员会党校2025年财政拨款“三公”经费预算情况说明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十一、关于中国共产党焉耆回族自治县委员会党校2025年上年结转结余预算情况说明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负责培训焉耆县各级党政领导干部、公务员、国有企业领导人员、事业单位领导人员、年轻干部、理论宣传骨干、高层次人才、基层干部、党员，开展全县党校（行政学校）系统师资培训；负责对学员进行综合考核，并从优秀学员中向焉耆县委组织部提出后备干部推荐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2.加强马克思主义基本理论研究，重点研究宣传习近平新时代中国特色社会主义思想。</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3.承办焉耆县委和焉耆县人民政府以及相关部门举办的专题研讨班。</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4.负责开展重大理论和现实问题研究，承担焉耆县委和焉耆县人民政府决策咨询服务。加强与实际工作部门和政策研究部门的合作和交流。</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5.参与焉耆县委关于党校（行政学校）工作政策以及干部培训计划的制定工作，牵头制定焉耆县党校（行政学校)</w:t>
      </w:r>
    </w:p>
    <w:p>
      <w:pPr>
        <w:keepNext w:val="0"/>
        <w:keepLines w:val="0"/>
        <w:pageBreakBefore w:val="0"/>
        <w:widowControl/>
        <w:kinsoku/>
        <w:wordWrap/>
        <w:overflowPunct/>
        <w:topLinePunct w:val="0"/>
        <w:autoSpaceDE/>
        <w:autoSpaceDN/>
        <w:bidi w:val="0"/>
        <w:adjustRightInd/>
        <w:snapToGrid/>
        <w:spacing w:beforeLines="0" w:line="540" w:lineRule="exact"/>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系统建设和发展规划。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6.围绕党的中心任务和焉耆县委、县人民政府的工作部署，对重大理论问题和现实问题开展科学研究，对县情进行调查研究。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7.统筹党校到支部工作，协调运用“互联网 ”现代信息技术，对全县党员进行常态化教育培训。</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8.完成县委、县人民政府、县委组织部和上级党校交办的其他任务。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中国共产党焉耆回族自治县委员会党校无下属预算单位，下设2个处室，分别是：行政办、教学教研室。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中国共产党焉耆回族自治县委员会党校编制数13，实有人数26人，其中：在职11人，减少2人；退休15人，增加0人；离休0人，增加0人。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highlight w:val="none"/>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37.60</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10.94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16.66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284.20</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284.20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编制单位：中国共产党焉耆回族自治县委员会党校              单位：万元</w:t>
      </w:r>
    </w:p>
    <w:tbl>
      <w:tblPr>
        <w:tblStyle w:val="10"/>
        <w:tblW w:w="10248" w:type="dxa"/>
        <w:tblInd w:w="-450" w:type="dxa"/>
        <w:tblLayout w:type="fixed"/>
        <w:tblCellMar>
          <w:top w:w="0" w:type="dxa"/>
          <w:left w:w="108" w:type="dxa"/>
          <w:bottom w:w="0" w:type="dxa"/>
          <w:right w:w="108" w:type="dxa"/>
        </w:tblCellMar>
      </w:tblPr>
      <w:tblGrid>
        <w:gridCol w:w="605"/>
        <w:gridCol w:w="465"/>
        <w:gridCol w:w="431"/>
        <w:gridCol w:w="1627"/>
        <w:gridCol w:w="800"/>
        <w:gridCol w:w="813"/>
        <w:gridCol w:w="827"/>
        <w:gridCol w:w="627"/>
        <w:gridCol w:w="386"/>
        <w:gridCol w:w="667"/>
        <w:gridCol w:w="467"/>
        <w:gridCol w:w="746"/>
        <w:gridCol w:w="547"/>
        <w:gridCol w:w="400"/>
        <w:gridCol w:w="347"/>
        <w:gridCol w:w="493"/>
      </w:tblGrid>
      <w:tr>
        <w:tblPrEx>
          <w:tblCellMar>
            <w:top w:w="0" w:type="dxa"/>
            <w:left w:w="108" w:type="dxa"/>
            <w:bottom w:w="0" w:type="dxa"/>
            <w:right w:w="108" w:type="dxa"/>
          </w:tblCellMar>
        </w:tblPrEx>
        <w:trPr>
          <w:trHeight w:val="697" w:hRule="atLeast"/>
        </w:trPr>
        <w:tc>
          <w:tcPr>
            <w:tcW w:w="15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功能分类科目编码</w:t>
            </w:r>
          </w:p>
        </w:tc>
        <w:tc>
          <w:tcPr>
            <w:tcW w:w="16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3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  政  拨  款  (  补  助  )</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90" w:hRule="atLeast"/>
        </w:trPr>
        <w:tc>
          <w:tcPr>
            <w:tcW w:w="60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31"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6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8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9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9" w:hRule="atLeast"/>
        </w:trPr>
        <w:tc>
          <w:tcPr>
            <w:tcW w:w="605"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教育支出</w:t>
            </w:r>
          </w:p>
        </w:tc>
        <w:tc>
          <w:tcPr>
            <w:tcW w:w="8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w:t>
            </w:r>
          </w:p>
        </w:tc>
        <w:tc>
          <w:tcPr>
            <w:tcW w:w="8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8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62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31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进修及培训</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31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干部教育</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219</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199"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社会保障和就业支出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行政事业单位养老支出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21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行政单位离退休</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0.39</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258"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事业单位离退休</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3.88</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581"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22.21</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520"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11.11</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178"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10.94</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324"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行政事业单位疗</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10.94</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281"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行政单位医疗</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2.13</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299"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7.92</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32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公务员医疗补助</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0.89</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0.89</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0.89</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198"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16.66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248"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16.66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331"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16.66</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16.66</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r>
        <w:tblPrEx>
          <w:tblCellMar>
            <w:top w:w="0" w:type="dxa"/>
            <w:left w:w="108" w:type="dxa"/>
            <w:bottom w:w="0" w:type="dxa"/>
            <w:right w:w="108" w:type="dxa"/>
          </w:tblCellMar>
        </w:tblPrEx>
        <w:trPr>
          <w:trHeight w:val="465" w:hRule="atLeast"/>
        </w:trPr>
        <w:tc>
          <w:tcPr>
            <w:tcW w:w="605"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627" w:type="dxa"/>
            <w:tcBorders>
              <w:top w:val="nil"/>
              <w:left w:val="nil"/>
              <w:bottom w:val="single" w:color="auto" w:sz="4" w:space="0"/>
              <w:right w:val="single" w:color="auto" w:sz="4" w:space="0"/>
            </w:tcBorders>
            <w:noWrap w:val="0"/>
            <w:vAlign w:val="center"/>
          </w:tcPr>
          <w:p>
            <w:pPr>
              <w:ind w:firstLine="400" w:firstLineChars="200"/>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284.20</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284.20</w:t>
            </w:r>
          </w:p>
        </w:tc>
        <w:tc>
          <w:tcPr>
            <w:tcW w:w="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284.20</w:t>
            </w:r>
          </w:p>
        </w:tc>
        <w:tc>
          <w:tcPr>
            <w:tcW w:w="62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8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46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74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r>
              <w:rPr>
                <w:rFonts w:hint="default" w:ascii="Times New Roman" w:hAnsi="Times New Roman" w:eastAsia="方正楷体_GBK" w:cs="Times New Roman"/>
                <w:color w:val="auto"/>
                <w:sz w:val="18"/>
                <w:szCs w:val="18"/>
                <w:highlight w:val="none"/>
              </w:rPr>
              <w:t>　</w:t>
            </w:r>
          </w:p>
        </w:tc>
        <w:tc>
          <w:tcPr>
            <w:tcW w:w="5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方正楷体_GBK" w:cs="Times New Roman"/>
                <w:color w:val="auto"/>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51"/>
        <w:gridCol w:w="1825"/>
        <w:gridCol w:w="1826"/>
        <w:gridCol w:w="1868"/>
      </w:tblGrid>
      <w:tr>
        <w:tblPrEx>
          <w:tblCellMar>
            <w:top w:w="0" w:type="dxa"/>
            <w:left w:w="108" w:type="dxa"/>
            <w:bottom w:w="0" w:type="dxa"/>
            <w:right w:w="108" w:type="dxa"/>
          </w:tblCellMar>
        </w:tblPrEx>
        <w:trPr>
          <w:trHeight w:val="328" w:hRule="atLeast"/>
        </w:trPr>
        <w:tc>
          <w:tcPr>
            <w:tcW w:w="390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1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5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5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教育支出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进修及培训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干部教育</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社会保障和就业支出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行政事业单位养老支出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18"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行政单位离退休</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事业单位离退休</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机关事业单位基本养老保险缴费支出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机关事业单位职业年金缴费支出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卫生健康支出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行政事业单位医疗</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行政单位医疗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公务员医疗补助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0.89</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0.89</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住房保障支出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住房改革支出</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55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住房公积金</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551" w:type="dxa"/>
            <w:tcBorders>
              <w:top w:val="nil"/>
              <w:left w:val="nil"/>
              <w:bottom w:val="single" w:color="auto" w:sz="4" w:space="0"/>
              <w:right w:val="single" w:color="auto" w:sz="4" w:space="0"/>
            </w:tcBorders>
            <w:noWrap w:val="0"/>
            <w:vAlign w:val="center"/>
          </w:tcPr>
          <w:p>
            <w:pPr>
              <w:ind w:firstLine="600" w:firstLineChars="30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284.20</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284.20</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楷体_GBK" w:cs="Times New Roman"/>
                <w:b/>
                <w:bCs/>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keepNext w:val="0"/>
        <w:keepLines w:val="0"/>
        <w:widowControl/>
        <w:suppressLineNumbers w:val="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szCs w:val="24"/>
          <w:highlight w:val="none"/>
        </w:rPr>
        <w:t xml:space="preserve">             单位：万元</w:t>
      </w:r>
    </w:p>
    <w:tbl>
      <w:tblPr>
        <w:tblStyle w:val="10"/>
        <w:tblW w:w="10307" w:type="dxa"/>
        <w:tblInd w:w="-722" w:type="dxa"/>
        <w:tblLayout w:type="autofit"/>
        <w:tblCellMar>
          <w:top w:w="0" w:type="dxa"/>
          <w:left w:w="108" w:type="dxa"/>
          <w:bottom w:w="0" w:type="dxa"/>
          <w:right w:w="108" w:type="dxa"/>
        </w:tblCellMar>
      </w:tblPr>
      <w:tblGrid>
        <w:gridCol w:w="2160"/>
        <w:gridCol w:w="973"/>
        <w:gridCol w:w="2934"/>
        <w:gridCol w:w="1026"/>
        <w:gridCol w:w="1027"/>
        <w:gridCol w:w="1000"/>
        <w:gridCol w:w="120"/>
        <w:gridCol w:w="1067"/>
      </w:tblGrid>
      <w:tr>
        <w:tblPrEx>
          <w:tblCellMar>
            <w:top w:w="0" w:type="dxa"/>
            <w:left w:w="108" w:type="dxa"/>
            <w:bottom w:w="0" w:type="dxa"/>
            <w:right w:w="108" w:type="dxa"/>
          </w:tblCellMar>
        </w:tblPrEx>
        <w:trPr>
          <w:trHeight w:val="285" w:hRule="atLeast"/>
        </w:trPr>
        <w:tc>
          <w:tcPr>
            <w:tcW w:w="31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174"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16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7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7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7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w:t>
            </w: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37.6</w:t>
            </w:r>
            <w:r>
              <w:rPr>
                <w:rFonts w:hint="eastAsia" w:eastAsia="仿宋_GB2312" w:cs="Times New Roman"/>
                <w:color w:val="auto"/>
                <w:kern w:val="0"/>
                <w:sz w:val="20"/>
                <w:szCs w:val="20"/>
                <w:highlight w:val="none"/>
                <w:lang w:val="en-US" w:eastAsia="zh-CN"/>
              </w:rPr>
              <w:t>0</w:t>
            </w: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37.6</w:t>
            </w:r>
            <w:r>
              <w:rPr>
                <w:rFonts w:hint="eastAsia" w:eastAsia="仿宋_GB2312" w:cs="Times New Roman"/>
                <w:color w:val="auto"/>
                <w:kern w:val="0"/>
                <w:sz w:val="20"/>
                <w:szCs w:val="20"/>
                <w:highlight w:val="none"/>
                <w:lang w:val="en-US" w:eastAsia="zh-CN"/>
              </w:rPr>
              <w:t>0</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10.94</w:t>
            </w: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10.94</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16.66</w:t>
            </w: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16.66</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973"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20"/>
                <w:szCs w:val="20"/>
                <w:highlight w:val="none"/>
              </w:rPr>
            </w:pP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8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160"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73"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284.20</w:t>
            </w:r>
            <w:r>
              <w:rPr>
                <w:rFonts w:hint="default" w:ascii="Times New Roman" w:hAnsi="Times New Roman" w:eastAsia="仿宋_GB2312" w:cs="Times New Roman"/>
                <w:b w:val="0"/>
                <w:bCs w:val="0"/>
                <w:color w:val="auto"/>
                <w:kern w:val="0"/>
                <w:sz w:val="20"/>
                <w:szCs w:val="20"/>
                <w:highlight w:val="none"/>
              </w:rPr>
              <w:t>　</w:t>
            </w:r>
          </w:p>
        </w:tc>
        <w:tc>
          <w:tcPr>
            <w:tcW w:w="29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p>
        </w:tc>
        <w:tc>
          <w:tcPr>
            <w:tcW w:w="10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284.20</w:t>
            </w:r>
          </w:p>
        </w:tc>
        <w:tc>
          <w:tcPr>
            <w:tcW w:w="10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8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2494"/>
        <w:gridCol w:w="1677"/>
        <w:gridCol w:w="1833"/>
        <w:gridCol w:w="1693"/>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59" w:hRule="atLeast"/>
        </w:trPr>
        <w:tc>
          <w:tcPr>
            <w:tcW w:w="9214" w:type="dxa"/>
            <w:gridSpan w:val="7"/>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中国共产党焉耆回族自治县委员会党校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教育支出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b/>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进修及培训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干部教育</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社会保障和就业支出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行政事业单位养老支出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行政单位离退休</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事业单位离退休</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机关事业单位基本养老保险缴费支出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22.21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机关事业单位职业年金缴费支出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11.11</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卫生健康支出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行政事业单位医疗</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10.94</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行政单位医疗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7.92</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公务员医疗补助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0.89</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0.89</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住房保障支出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住房改革支出</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49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住房公积金</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16.66</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94" w:type="dxa"/>
            <w:tcBorders>
              <w:top w:val="nil"/>
              <w:left w:val="nil"/>
              <w:bottom w:val="single" w:color="auto" w:sz="4" w:space="0"/>
              <w:right w:val="single" w:color="auto" w:sz="4" w:space="0"/>
            </w:tcBorders>
            <w:noWrap w:val="0"/>
            <w:vAlign w:val="center"/>
          </w:tcPr>
          <w:p>
            <w:pPr>
              <w:ind w:firstLine="800" w:firstLineChars="400"/>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284.20</w:t>
            </w:r>
          </w:p>
        </w:tc>
        <w:tc>
          <w:tcPr>
            <w:tcW w:w="18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284.20</w:t>
            </w:r>
          </w:p>
        </w:tc>
        <w:tc>
          <w:tcPr>
            <w:tcW w:w="169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楷体_GBK"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779"/>
        <w:gridCol w:w="1813"/>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 xml:space="preserve">中国共产党焉耆回族自治县委员会党校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11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21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77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81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779"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81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工资福利支出</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210.54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基本工资</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74.23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74.23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津贴补贴</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74.46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74.46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08</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机关事业单位基本养老保险缴费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09</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职业年金缴费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11.11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11.11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10</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职工基本医疗保险缴费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10.05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11</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val="en-US" w:eastAsia="zh-CN"/>
              </w:rPr>
              <w:t>公务员医疗补助缴费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12</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其他社会保障缴费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13</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住房公积金</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16.66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87"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商品和服务支出</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69.38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01</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rPr>
              <w:t>办公费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印刷费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05</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水费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06</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电费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07</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邮电费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08</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取暖费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19.35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19.35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16</w:t>
            </w:r>
          </w:p>
        </w:tc>
        <w:tc>
          <w:tcPr>
            <w:tcW w:w="2779" w:type="dxa"/>
            <w:tcBorders>
              <w:top w:val="nil"/>
              <w:left w:val="nil"/>
              <w:bottom w:val="single" w:color="auto" w:sz="4" w:space="0"/>
              <w:right w:val="single" w:color="auto" w:sz="4" w:space="0"/>
            </w:tcBorders>
            <w:noWrap w:val="0"/>
            <w:vAlign w:val="center"/>
          </w:tcPr>
          <w:p>
            <w:pPr>
              <w:widowControl/>
              <w:jc w:val="left"/>
              <w:rPr>
                <w:rStyle w:val="16"/>
                <w:rFonts w:hint="default" w:ascii="Times New Roman" w:hAnsi="Times New Roman" w:eastAsia="仿宋_GB2312" w:cs="Times New Roman"/>
                <w:sz w:val="20"/>
                <w:szCs w:val="20"/>
                <w:lang w:eastAsia="zh-CN"/>
              </w:rPr>
            </w:pPr>
            <w:r>
              <w:rPr>
                <w:rStyle w:val="16"/>
                <w:rFonts w:hint="default" w:ascii="Times New Roman" w:hAnsi="Times New Roman" w:eastAsia="仿宋_GB2312" w:cs="Times New Roman"/>
                <w:sz w:val="20"/>
                <w:szCs w:val="20"/>
                <w:lang w:eastAsia="zh-CN"/>
              </w:rPr>
              <w:t>培训费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28</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工会经费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29</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2"/>
                <w:sz w:val="20"/>
                <w:szCs w:val="20"/>
                <w:lang w:val="en-US" w:eastAsia="zh-CN" w:bidi="ar-SA"/>
              </w:rPr>
            </w:pPr>
            <w:r>
              <w:rPr>
                <w:rStyle w:val="16"/>
                <w:rFonts w:hint="default" w:ascii="Times New Roman" w:hAnsi="Times New Roman" w:eastAsia="仿宋_GB2312" w:cs="Times New Roman"/>
                <w:sz w:val="20"/>
                <w:szCs w:val="20"/>
                <w:lang w:eastAsia="zh-CN"/>
              </w:rPr>
              <w:t>福利费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对个人和家庭的补助</w:t>
            </w:r>
            <w:r>
              <w:rPr>
                <w:rFonts w:hint="default" w:ascii="Times New Roman" w:hAnsi="Times New Roman" w:eastAsia="仿宋_GB2312" w:cs="Times New Roman"/>
                <w:color w:val="auto"/>
                <w:kern w:val="0"/>
                <w:sz w:val="20"/>
                <w:szCs w:val="20"/>
                <w:highlight w:val="none"/>
                <w:lang w:val="en-US" w:eastAsia="zh-CN"/>
              </w:rPr>
              <w:t xml:space="preserve"> </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val="en-US" w:eastAsia="zh-CN" w:bidi="ar"/>
              </w:rPr>
              <w:t>02</w:t>
            </w:r>
          </w:p>
        </w:tc>
        <w:tc>
          <w:tcPr>
            <w:tcW w:w="277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退休费</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779" w:type="dxa"/>
            <w:tcBorders>
              <w:top w:val="nil"/>
              <w:left w:val="nil"/>
              <w:bottom w:val="single" w:color="auto" w:sz="4" w:space="0"/>
              <w:right w:val="single" w:color="auto" w:sz="4" w:space="0"/>
            </w:tcBorders>
            <w:noWrap w:val="0"/>
            <w:vAlign w:val="center"/>
          </w:tcPr>
          <w:p>
            <w:pPr>
              <w:widowControl/>
              <w:ind w:firstLine="800" w:firstLineChars="4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284.20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214.82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69.38</w:t>
            </w:r>
          </w:p>
        </w:tc>
      </w:tr>
    </w:tbl>
    <w:p>
      <w:pPr>
        <w:keepNext w:val="0"/>
        <w:keepLines w:val="0"/>
        <w:widowControl/>
        <w:suppressLineNumbers w:val="0"/>
        <w:jc w:val="left"/>
        <w:textAlignment w:val="bottom"/>
        <w:rPr>
          <w:rFonts w:hint="default" w:ascii="Times New Roman" w:hAnsi="Times New Roman" w:eastAsia="方正楷体_GBK" w:cs="Times New Roman"/>
          <w:i w:val="0"/>
          <w:color w:val="auto"/>
          <w:kern w:val="0"/>
          <w:sz w:val="18"/>
          <w:szCs w:val="18"/>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463" w:type="dxa"/>
        <w:tblInd w:w="-360" w:type="dxa"/>
        <w:tblLayout w:type="fixed"/>
        <w:tblCellMar>
          <w:top w:w="0" w:type="dxa"/>
          <w:left w:w="108" w:type="dxa"/>
          <w:bottom w:w="0" w:type="dxa"/>
          <w:right w:w="108" w:type="dxa"/>
        </w:tblCellMar>
      </w:tblPr>
      <w:tblGrid>
        <w:gridCol w:w="8"/>
        <w:gridCol w:w="409"/>
        <w:gridCol w:w="417"/>
        <w:gridCol w:w="417"/>
        <w:gridCol w:w="828"/>
        <w:gridCol w:w="1226"/>
        <w:gridCol w:w="906"/>
        <w:gridCol w:w="561"/>
        <w:gridCol w:w="530"/>
        <w:gridCol w:w="639"/>
        <w:gridCol w:w="639"/>
        <w:gridCol w:w="404"/>
        <w:gridCol w:w="214"/>
        <w:gridCol w:w="419"/>
        <w:gridCol w:w="618"/>
        <w:gridCol w:w="420"/>
        <w:gridCol w:w="420"/>
        <w:gridCol w:w="388"/>
      </w:tblGrid>
      <w:tr>
        <w:tblPrEx>
          <w:tblCellMar>
            <w:top w:w="0" w:type="dxa"/>
            <w:left w:w="108" w:type="dxa"/>
            <w:bottom w:w="0" w:type="dxa"/>
            <w:right w:w="108" w:type="dxa"/>
          </w:tblCellMar>
        </w:tblPrEx>
        <w:trPr>
          <w:gridBefore w:val="1"/>
          <w:wBefore w:w="8"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wBefore w:w="8" w:type="dxa"/>
          <w:trHeight w:val="405" w:hRule="atLeast"/>
        </w:trPr>
        <w:tc>
          <w:tcPr>
            <w:tcW w:w="6976" w:type="dxa"/>
            <w:gridSpan w:val="11"/>
            <w:tcBorders>
              <w:top w:val="nil"/>
              <w:left w:val="nil"/>
              <w:bottom w:val="nil"/>
              <w:right w:val="nil"/>
            </w:tcBorders>
            <w:noWrap w:val="0"/>
            <w:vAlign w:val="center"/>
          </w:tcPr>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中国共产党焉耆回族自治县委员会党校</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22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0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8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0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90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2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906"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widowControl/>
        <w:suppressLineNumbers w:val="0"/>
        <w:jc w:val="left"/>
        <w:rPr>
          <w:rFonts w:hint="eastAsia" w:ascii="Times New Roman" w:hAnsi="Times New Roman" w:eastAsia="仿宋_GB2312" w:cs="Times New Roman"/>
          <w:lang w:val="en-US" w:eastAsia="zh-C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年本单位无政府性基金预算安排，此表为空表</w:t>
      </w:r>
      <w:r>
        <w:rPr>
          <w:rFonts w:hint="eastAsia" w:eastAsia="仿宋_GB2312" w:cs="Times New Roman"/>
          <w:b/>
          <w:bCs/>
          <w:color w:val="000000"/>
          <w:kern w:val="0"/>
          <w:sz w:val="28"/>
          <w:szCs w:val="28"/>
          <w:lang w:val="en-US" w:eastAsia="zh-CN" w:bidi="ar"/>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keepNext w:val="0"/>
        <w:keepLines w:val="0"/>
        <w:widowControl/>
        <w:suppressLineNumbers w:val="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widowControl/>
        <w:suppressLineNumbers w:val="0"/>
        <w:jc w:val="left"/>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年本单位无国有资本经营预算支出安排，此表为空表。</w:t>
      </w: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年本单位无财政拨款</w:t>
      </w:r>
      <w:r>
        <w:rPr>
          <w:rFonts w:hint="default" w:ascii="Times New Roman" w:hAnsi="Times New Roman" w:eastAsia="宋体" w:cs="Times New Roman"/>
          <w:b/>
          <w:bCs/>
          <w:color w:val="000000"/>
          <w:kern w:val="0"/>
          <w:sz w:val="28"/>
          <w:szCs w:val="28"/>
          <w:lang w:val="en-US" w:eastAsia="zh-CN" w:bidi="ar"/>
        </w:rPr>
        <w:t>“</w:t>
      </w:r>
      <w:r>
        <w:rPr>
          <w:rFonts w:hint="default" w:ascii="Times New Roman" w:hAnsi="Times New Roman" w:eastAsia="仿宋_GB2312" w:cs="Times New Roman"/>
          <w:b/>
          <w:bCs/>
          <w:color w:val="000000"/>
          <w:kern w:val="0"/>
          <w:sz w:val="28"/>
          <w:szCs w:val="28"/>
          <w:lang w:val="en-US" w:eastAsia="zh-CN" w:bidi="ar"/>
        </w:rPr>
        <w:t>三公</w:t>
      </w:r>
      <w:r>
        <w:rPr>
          <w:rFonts w:hint="default" w:ascii="Times New Roman" w:hAnsi="Times New Roman" w:eastAsia="宋体" w:cs="Times New Roman"/>
          <w:b/>
          <w:bCs/>
          <w:color w:val="000000"/>
          <w:kern w:val="0"/>
          <w:sz w:val="28"/>
          <w:szCs w:val="28"/>
          <w:lang w:val="en-US" w:eastAsia="zh-CN" w:bidi="ar"/>
        </w:rPr>
        <w:t>”</w:t>
      </w:r>
      <w:r>
        <w:rPr>
          <w:rFonts w:hint="default" w:ascii="Times New Roman" w:hAnsi="Times New Roman" w:eastAsia="仿宋_GB2312" w:cs="Times New Roman"/>
          <w:b/>
          <w:bCs/>
          <w:color w:val="000000"/>
          <w:kern w:val="0"/>
          <w:sz w:val="28"/>
          <w:szCs w:val="28"/>
          <w:lang w:val="en-US" w:eastAsia="zh-CN" w:bidi="ar"/>
        </w:rPr>
        <w:t>经费支出，此表为空表。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keepNext w:val="0"/>
        <w:keepLines w:val="0"/>
        <w:widowControl/>
        <w:suppressLineNumbers w:val="0"/>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中国共产党焉耆回族自治县委员会党校</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1712" w:tblpY="190"/>
        <w:tblOverlap w:val="never"/>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50"/>
        <w:gridCol w:w="1054"/>
        <w:gridCol w:w="890"/>
        <w:gridCol w:w="714"/>
        <w:gridCol w:w="1211"/>
        <w:gridCol w:w="797"/>
        <w:gridCol w:w="723"/>
        <w:gridCol w:w="88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2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338"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2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93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93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3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3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3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3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b/>
          <w:bCs/>
          <w:color w:val="000000"/>
          <w:kern w:val="0"/>
          <w:sz w:val="28"/>
          <w:szCs w:val="28"/>
          <w:lang w:val="en-US" w:eastAsia="zh-CN" w:bidi="ar"/>
        </w:rPr>
        <w:t>备注：</w:t>
      </w:r>
      <w:r>
        <w:rPr>
          <w:rFonts w:hint="default" w:ascii="Times New Roman" w:hAnsi="Times New Roman" w:eastAsia="宋体" w:cs="Times New Roman"/>
          <w:b/>
          <w:bCs/>
          <w:color w:val="000000"/>
          <w:kern w:val="0"/>
          <w:sz w:val="28"/>
          <w:szCs w:val="28"/>
          <w:lang w:val="en-US" w:eastAsia="zh-CN" w:bidi="ar"/>
        </w:rPr>
        <w:t>2025</w:t>
      </w:r>
      <w:r>
        <w:rPr>
          <w:rFonts w:hint="default" w:ascii="Times New Roman" w:hAnsi="Times New Roman" w:eastAsia="仿宋_GB2312" w:cs="Times New Roman"/>
          <w:b/>
          <w:bCs/>
          <w:color w:val="000000"/>
          <w:kern w:val="0"/>
          <w:sz w:val="28"/>
          <w:szCs w:val="28"/>
          <w:lang w:val="en-US" w:eastAsia="zh-CN" w:bidi="ar"/>
        </w:rPr>
        <w:t>年本单位无上年结转结余情况，此表为空表。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一、关于中国共产党焉耆回族自治县委员会党校2025年收支预算情况的总体说明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按照全口径预算的原则，中国共产党焉耆回族自治县委员会党校2025年所有收入和支出均纳入单位预算管理。收支总预算284.20万元。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教育支出、社会保障和就业支出、卫生健康支出、住房保障支出。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二、关于中国共产党焉耆回族自治县委员会党校2025年收入预算情况说明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中国共产党焉耆回族自治县委员会党校收入预算284.20万元，其中：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一般公共预算284.20万元，占100%，比上年预算减少22.68万元，下降7.39%，主要原因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lang w:val="en-US" w:eastAsia="zh-CN" w:bidi="ar"/>
        </w:rPr>
        <w:t>本年</w:t>
      </w:r>
      <w:r>
        <w:rPr>
          <w:rFonts w:hint="default" w:ascii="Times New Roman" w:hAnsi="Times New Roman" w:eastAsia="仿宋_GB2312" w:cs="Times New Roman"/>
          <w:color w:val="000000"/>
          <w:kern w:val="0"/>
          <w:sz w:val="31"/>
          <w:szCs w:val="31"/>
          <w:highlight w:val="none"/>
          <w:lang w:val="en-US" w:eastAsia="zh-CN" w:bidi="ar"/>
        </w:rPr>
        <w:t xml:space="preserve">度在职人员减少 </w:t>
      </w:r>
      <w:r>
        <w:rPr>
          <w:rFonts w:hint="default" w:ascii="Times New Roman" w:hAnsi="Times New Roman" w:eastAsia="宋体" w:cs="Times New Roman"/>
          <w:color w:val="000000"/>
          <w:kern w:val="0"/>
          <w:sz w:val="31"/>
          <w:szCs w:val="31"/>
          <w:highlight w:val="none"/>
          <w:lang w:val="en-US" w:eastAsia="zh-CN" w:bidi="ar"/>
        </w:rPr>
        <w:t xml:space="preserve">2 </w:t>
      </w:r>
      <w:r>
        <w:rPr>
          <w:rFonts w:hint="default" w:ascii="Times New Roman" w:hAnsi="Times New Roman" w:eastAsia="仿宋_GB2312" w:cs="Times New Roman"/>
          <w:color w:val="000000"/>
          <w:kern w:val="0"/>
          <w:sz w:val="31"/>
          <w:szCs w:val="31"/>
          <w:highlight w:val="none"/>
          <w:lang w:val="en-US" w:eastAsia="zh-CN" w:bidi="ar"/>
        </w:rPr>
        <w:t>人，导致工资</w:t>
      </w:r>
      <w:r>
        <w:rPr>
          <w:rFonts w:hint="eastAsia" w:ascii="Times New Roman" w:hAnsi="Times New Roman" w:eastAsia="仿宋_GB2312" w:cs="Times New Roman"/>
          <w:color w:val="000000"/>
          <w:kern w:val="0"/>
          <w:sz w:val="31"/>
          <w:szCs w:val="31"/>
          <w:highlight w:val="none"/>
          <w:lang w:val="en-US" w:eastAsia="zh-CN" w:bidi="ar"/>
        </w:rPr>
        <w:t>、</w:t>
      </w:r>
      <w:r>
        <w:rPr>
          <w:rFonts w:hint="default" w:ascii="Times New Roman" w:hAnsi="Times New Roman" w:eastAsia="仿宋_GB2312" w:cs="Times New Roman"/>
          <w:color w:val="000000"/>
          <w:kern w:val="0"/>
          <w:sz w:val="31"/>
          <w:szCs w:val="31"/>
          <w:highlight w:val="none"/>
          <w:lang w:val="en-US" w:eastAsia="zh-CN" w:bidi="ar"/>
        </w:rPr>
        <w:t xml:space="preserve">社保费及住房公积金减少。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上级一般公共预算安排的转移支付资金未安排。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政府性基金预算未安排。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上级政府性基金安排的转移支付资金未安排。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国有资本经营预算未安排。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三、关于中国共产党焉耆回族自治县委员会党校2025年支出预算情况说明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中国共产党焉耆回族自治县委员会党校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284.20</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284.20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val="en-US" w:eastAsia="zh-CN"/>
        </w:rPr>
        <w:t>减少22.68万元，下降7.39%，主要原因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000000"/>
          <w:kern w:val="0"/>
          <w:sz w:val="31"/>
          <w:szCs w:val="31"/>
          <w:lang w:val="en-US" w:eastAsia="zh-CN" w:bidi="ar"/>
        </w:rPr>
        <w:t xml:space="preserve">本年度在职人员减少 </w:t>
      </w:r>
      <w:r>
        <w:rPr>
          <w:rFonts w:hint="default" w:ascii="Times New Roman" w:hAnsi="Times New Roman" w:eastAsia="宋体" w:cs="Times New Roman"/>
          <w:color w:val="000000"/>
          <w:kern w:val="0"/>
          <w:sz w:val="31"/>
          <w:szCs w:val="31"/>
          <w:lang w:val="en-US" w:eastAsia="zh-CN" w:bidi="ar"/>
        </w:rPr>
        <w:t xml:space="preserve">2 </w:t>
      </w:r>
      <w:r>
        <w:rPr>
          <w:rFonts w:hint="default" w:ascii="Times New Roman" w:hAnsi="Times New Roman" w:eastAsia="仿宋_GB2312" w:cs="Times New Roman"/>
          <w:color w:val="000000"/>
          <w:kern w:val="0"/>
          <w:sz w:val="31"/>
          <w:szCs w:val="31"/>
          <w:lang w:val="en-US" w:eastAsia="zh-CN" w:bidi="ar"/>
        </w:rPr>
        <w:t xml:space="preserve">人，导致工资、社保费及住房公积金减少。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000000"/>
          <w:kern w:val="0"/>
          <w:sz w:val="31"/>
          <w:szCs w:val="31"/>
          <w:lang w:val="en-US" w:eastAsia="zh-CN" w:bidi="ar"/>
        </w:rPr>
        <w:t>未安排项目预算。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四、关于中国共产党焉耆回族自治县委员会党校2025年财政拨款收支预算情况的总体说明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2025年财政拨款收支总预算284.20万元。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ascii="Times New Roman" w:hAnsi="Times New Roman"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收入预算包括：一般公共预算拨款284.20万元。</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教育支出219万元，主要用于</w:t>
      </w:r>
      <w:r>
        <w:rPr>
          <w:rFonts w:hint="default" w:ascii="Times New Roman" w:hAnsi="Times New Roman" w:eastAsia="仿宋_GB2312" w:cs="Times New Roman"/>
          <w:color w:val="000000"/>
          <w:kern w:val="0"/>
          <w:sz w:val="31"/>
          <w:szCs w:val="31"/>
          <w:highlight w:val="none"/>
          <w:lang w:val="en-US" w:eastAsia="zh-CN" w:bidi="ar"/>
        </w:rPr>
        <w:t xml:space="preserve">人员工资、津贴、公用经费支出。 </w:t>
      </w:r>
    </w:p>
    <w:p>
      <w:pPr>
        <w:keepNext w:val="0"/>
        <w:keepLines w:val="0"/>
        <w:widowControl/>
        <w:suppressLineNumbers w:val="0"/>
        <w:ind w:firstLine="640" w:firstLineChars="200"/>
        <w:jc w:val="left"/>
        <w:rPr>
          <w:rFonts w:hint="eastAsia" w:eastAsia="仿宋_GB2312" w:cs="Times New Roman"/>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社会保障和就业支出37.6万元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kern w:val="0"/>
          <w:sz w:val="32"/>
          <w:szCs w:val="32"/>
          <w:highlight w:val="none"/>
          <w:lang w:val="en-US" w:eastAsia="zh-CN"/>
        </w:rPr>
        <w:t>基本养老保险缴费、机关事业单位职业年金、退休人员工资</w:t>
      </w:r>
      <w:r>
        <w:rPr>
          <w:rFonts w:hint="eastAsia" w:eastAsia="仿宋_GB2312" w:cs="Times New Roman"/>
          <w:kern w:val="0"/>
          <w:sz w:val="32"/>
          <w:szCs w:val="32"/>
          <w:highlight w:val="none"/>
          <w:lang w:val="en-US" w:eastAsia="zh-CN"/>
        </w:rPr>
        <w:t>。</w:t>
      </w:r>
    </w:p>
    <w:p>
      <w:pPr>
        <w:keepNext w:val="0"/>
        <w:keepLines w:val="0"/>
        <w:widowControl/>
        <w:suppressLineNumbers w:val="0"/>
        <w:ind w:firstLine="640" w:firstLineChars="200"/>
        <w:jc w:val="left"/>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lang w:val="en-US" w:eastAsia="zh-CN"/>
        </w:rPr>
        <w:t>卫生健康支出10.94万元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000000"/>
          <w:kern w:val="0"/>
          <w:sz w:val="31"/>
          <w:szCs w:val="31"/>
          <w:highlight w:val="none"/>
          <w:lang w:val="en-US" w:eastAsia="zh-CN" w:bidi="ar"/>
        </w:rPr>
        <w:t>在职人员医疗保险费用的支出。</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住房保障支出16.66万元，主要用于</w:t>
      </w:r>
      <w:r>
        <w:rPr>
          <w:rFonts w:hint="default" w:ascii="Times New Roman" w:hAnsi="Times New Roman" w:eastAsia="仿宋_GB2312" w:cs="Times New Roman"/>
          <w:color w:val="000000"/>
          <w:kern w:val="0"/>
          <w:sz w:val="31"/>
          <w:szCs w:val="31"/>
          <w:highlight w:val="none"/>
          <w:lang w:val="en-US" w:eastAsia="zh-CN" w:bidi="ar"/>
        </w:rPr>
        <w:t>在职人员住房公积金支出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五、关于中国共产党焉耆回族自治县委员会党校2025年一般公共预算当年拨款情况说明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中国共产党焉耆回族自治县委员会党校2025年一般公共预算拨款合计284.20万元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基本支出284.20万元，比上年预算减少22.68万元，下降7.39%，主要原因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000000"/>
          <w:kern w:val="0"/>
          <w:sz w:val="31"/>
          <w:szCs w:val="31"/>
          <w:lang w:val="en-US" w:eastAsia="zh-CN" w:bidi="ar"/>
        </w:rPr>
        <w:t xml:space="preserve">本年度在职人员减少 </w:t>
      </w:r>
      <w:r>
        <w:rPr>
          <w:rFonts w:hint="default" w:ascii="Times New Roman" w:hAnsi="Times New Roman" w:eastAsia="宋体" w:cs="Times New Roman"/>
          <w:color w:val="000000"/>
          <w:kern w:val="0"/>
          <w:sz w:val="31"/>
          <w:szCs w:val="31"/>
          <w:lang w:val="en-US" w:eastAsia="zh-CN" w:bidi="ar"/>
        </w:rPr>
        <w:t xml:space="preserve">2 </w:t>
      </w:r>
      <w:r>
        <w:rPr>
          <w:rFonts w:hint="default" w:ascii="Times New Roman" w:hAnsi="Times New Roman" w:eastAsia="仿宋_GB2312" w:cs="Times New Roman"/>
          <w:color w:val="000000"/>
          <w:kern w:val="0"/>
          <w:sz w:val="31"/>
          <w:szCs w:val="31"/>
          <w:lang w:val="en-US" w:eastAsia="zh-CN" w:bidi="ar"/>
        </w:rPr>
        <w:t xml:space="preserve">人，导致工资、社保费及住房公积金减少。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项目支出0万元，比上年预算增加0万元，增长0%，主要原因是：单位2025年未安排项目预算。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1.教育支出（类）219万元，占77.06%。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2.社会保障和就业支出（类）37.6万元，占13.23%。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3.卫生健康支出（类）10.94万元，占3.85%。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4.住房保障支出（类）16.66万元，占5.86%。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1.教育支出（类）进修及培训（款）干部教育</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2025年预算数为219万元，比上年预算减少7.26万元,下降3.21%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kern w:val="0"/>
          <w:sz w:val="31"/>
          <w:szCs w:val="31"/>
          <w:highlight w:val="none"/>
          <w:lang w:val="en-US" w:eastAsia="zh-CN" w:bidi="ar"/>
        </w:rPr>
        <w:t>本年度在职人员减少</w:t>
      </w:r>
      <w:r>
        <w:rPr>
          <w:rFonts w:hint="default" w:ascii="Times New Roman" w:hAnsi="Times New Roman" w:eastAsia="宋体" w:cs="Times New Roman"/>
          <w:color w:val="000000"/>
          <w:kern w:val="0"/>
          <w:sz w:val="31"/>
          <w:szCs w:val="31"/>
          <w:highlight w:val="none"/>
          <w:lang w:val="en-US" w:eastAsia="zh-CN" w:bidi="ar"/>
        </w:rPr>
        <w:t xml:space="preserve">2 </w:t>
      </w:r>
      <w:r>
        <w:rPr>
          <w:rFonts w:hint="default" w:ascii="Times New Roman" w:hAnsi="Times New Roman" w:eastAsia="仿宋_GB2312" w:cs="Times New Roman"/>
          <w:color w:val="000000"/>
          <w:kern w:val="0"/>
          <w:sz w:val="31"/>
          <w:szCs w:val="31"/>
          <w:highlight w:val="none"/>
          <w:lang w:val="en-US" w:eastAsia="zh-CN" w:bidi="ar"/>
        </w:rPr>
        <w:t>人，导致工</w:t>
      </w:r>
      <w:r>
        <w:rPr>
          <w:rFonts w:hint="default" w:ascii="Times New Roman" w:hAnsi="Times New Roman" w:eastAsia="仿宋_GB2312" w:cs="Times New Roman"/>
          <w:color w:val="000000"/>
          <w:kern w:val="0"/>
          <w:sz w:val="31"/>
          <w:szCs w:val="31"/>
          <w:lang w:val="en-US" w:eastAsia="zh-CN" w:bidi="ar"/>
        </w:rPr>
        <w:t>资、社保费及住房公积金减少。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2.社会保障和就业支出（类）行政事业单位养老支出（款）行政单位离退休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2025年预算数为0.39万元，比上年预算减少10.62万元,下降96.4</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行政</w:t>
      </w:r>
      <w:r>
        <w:rPr>
          <w:rFonts w:hint="default" w:ascii="Times New Roman" w:hAnsi="Times New Roman" w:eastAsia="仿宋_GB2312" w:cs="Times New Roman"/>
          <w:color w:val="auto"/>
          <w:kern w:val="0"/>
          <w:sz w:val="32"/>
          <w:szCs w:val="32"/>
          <w:highlight w:val="none"/>
          <w:lang w:val="en-US" w:eastAsia="zh-CN"/>
        </w:rPr>
        <w:t>退休人员工资调整</w:t>
      </w:r>
      <w:r>
        <w:rPr>
          <w:rFonts w:hint="eastAsia" w:eastAsia="仿宋_GB2312" w:cs="Times New Roman"/>
          <w:color w:val="auto"/>
          <w:kern w:val="0"/>
          <w:sz w:val="32"/>
          <w:szCs w:val="32"/>
          <w:highlight w:val="none"/>
          <w:lang w:val="en-US" w:eastAsia="zh-CN"/>
        </w:rPr>
        <w:t>为事业退休工资</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3.社会保障和就业支出（类）行政事业单位养老支出（款）事业单位离退休</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2025年预算数为3.88万元，比上年预算增加3.88万元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w:t>
      </w:r>
      <w:r>
        <w:rPr>
          <w:rFonts w:hint="eastAsia" w:eastAsia="仿宋_GB2312" w:cs="Times New Roman"/>
          <w:color w:val="auto"/>
          <w:kern w:val="0"/>
          <w:sz w:val="32"/>
          <w:szCs w:val="32"/>
          <w:highlight w:val="none"/>
          <w:lang w:val="en-US" w:eastAsia="zh-CN"/>
        </w:rPr>
        <w:t>增加事业</w:t>
      </w:r>
      <w:r>
        <w:rPr>
          <w:rFonts w:hint="default" w:ascii="Times New Roman" w:hAnsi="Times New Roman" w:eastAsia="仿宋_GB2312" w:cs="Times New Roman"/>
          <w:color w:val="auto"/>
          <w:kern w:val="0"/>
          <w:sz w:val="32"/>
          <w:szCs w:val="32"/>
          <w:highlight w:val="none"/>
          <w:lang w:val="en-US" w:eastAsia="zh-CN"/>
        </w:rPr>
        <w:t xml:space="preserve">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4.社会保障和就业支出（类）行政事业单位养老支出（款）机关事业单位基本养老保险缴费支出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2025年预算数为22.21万元,比上年预算减少3.27万元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下降12.8</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kern w:val="0"/>
          <w:sz w:val="31"/>
          <w:szCs w:val="31"/>
          <w:lang w:val="en-US" w:eastAsia="zh-CN" w:bidi="ar"/>
        </w:rPr>
        <w:t xml:space="preserve">本年度在职人员减少 </w:t>
      </w:r>
      <w:r>
        <w:rPr>
          <w:rFonts w:hint="default" w:ascii="Times New Roman" w:hAnsi="Times New Roman" w:eastAsia="宋体" w:cs="Times New Roman"/>
          <w:color w:val="000000"/>
          <w:kern w:val="0"/>
          <w:sz w:val="31"/>
          <w:szCs w:val="31"/>
          <w:lang w:val="en-US" w:eastAsia="zh-CN" w:bidi="ar"/>
        </w:rPr>
        <w:t xml:space="preserve">2 </w:t>
      </w:r>
      <w:r>
        <w:rPr>
          <w:rFonts w:hint="default" w:ascii="Times New Roman" w:hAnsi="Times New Roman" w:eastAsia="仿宋_GB2312" w:cs="Times New Roman"/>
          <w:color w:val="000000"/>
          <w:kern w:val="0"/>
          <w:sz w:val="31"/>
          <w:szCs w:val="31"/>
          <w:lang w:val="en-US" w:eastAsia="zh-CN" w:bidi="ar"/>
        </w:rPr>
        <w:t>人，导致工资、社保费及住房公积金减少。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5.社会保障和就业支出（类）行政事业单位养老支出（款）机关事业单位职业年金缴费支出</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2025年预算数为11.11万元，比上年预算减少1.6</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下降12.</w:t>
      </w:r>
      <w:r>
        <w:rPr>
          <w:rFonts w:hint="eastAsia" w:eastAsia="仿宋_GB2312" w:cs="Times New Roman"/>
          <w:color w:val="auto"/>
          <w:kern w:val="0"/>
          <w:sz w:val="32"/>
          <w:szCs w:val="32"/>
          <w:highlight w:val="none"/>
          <w:lang w:val="en-US" w:eastAsia="zh-CN"/>
        </w:rPr>
        <w:t>73</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kern w:val="0"/>
          <w:sz w:val="31"/>
          <w:szCs w:val="31"/>
          <w:lang w:val="en-US" w:eastAsia="zh-CN" w:bidi="ar"/>
        </w:rPr>
        <w:t xml:space="preserve">本年度在职人员减少 </w:t>
      </w:r>
      <w:r>
        <w:rPr>
          <w:rFonts w:hint="default" w:ascii="Times New Roman" w:hAnsi="Times New Roman" w:eastAsia="宋体" w:cs="Times New Roman"/>
          <w:color w:val="000000"/>
          <w:kern w:val="0"/>
          <w:sz w:val="31"/>
          <w:szCs w:val="31"/>
          <w:lang w:val="en-US" w:eastAsia="zh-CN" w:bidi="ar"/>
        </w:rPr>
        <w:t xml:space="preserve">2 </w:t>
      </w:r>
      <w:r>
        <w:rPr>
          <w:rFonts w:hint="default" w:ascii="Times New Roman" w:hAnsi="Times New Roman" w:eastAsia="仿宋_GB2312" w:cs="Times New Roman"/>
          <w:color w:val="000000"/>
          <w:kern w:val="0"/>
          <w:sz w:val="31"/>
          <w:szCs w:val="31"/>
          <w:lang w:val="en-US" w:eastAsia="zh-CN" w:bidi="ar"/>
        </w:rPr>
        <w:t>人，导致工资、社保费及住房公积金减少。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2025年预算数为2.13万元，比上年预算减少9.02万元,下降80.</w:t>
      </w:r>
      <w:r>
        <w:rPr>
          <w:rFonts w:hint="eastAsia" w:eastAsia="仿宋_GB2312" w:cs="Times New Roman"/>
          <w:color w:val="auto"/>
          <w:kern w:val="0"/>
          <w:sz w:val="32"/>
          <w:szCs w:val="32"/>
          <w:highlight w:val="none"/>
          <w:lang w:val="en-US" w:eastAsia="zh-CN"/>
        </w:rPr>
        <w:t>90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kern w:val="0"/>
          <w:sz w:val="31"/>
          <w:szCs w:val="31"/>
          <w:lang w:val="en-US" w:eastAsia="zh-CN" w:bidi="ar"/>
        </w:rPr>
        <w:t>本年度减少</w:t>
      </w:r>
      <w:r>
        <w:rPr>
          <w:rFonts w:hint="eastAsia" w:eastAsia="仿宋_GB2312" w:cs="Times New Roman"/>
          <w:color w:val="000000"/>
          <w:kern w:val="0"/>
          <w:sz w:val="31"/>
          <w:szCs w:val="31"/>
          <w:lang w:val="en-US" w:eastAsia="zh-CN" w:bidi="ar"/>
        </w:rPr>
        <w:t>行政医疗预算，增加事业医疗预算</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2025年预算数为7.92万元，比上年预算增加7.92万元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增长100%,主要原因是：</w:t>
      </w:r>
      <w:r>
        <w:rPr>
          <w:rFonts w:hint="eastAsia" w:eastAsia="仿宋_GB2312" w:cs="Times New Roman"/>
          <w:color w:val="auto"/>
          <w:kern w:val="0"/>
          <w:sz w:val="32"/>
          <w:szCs w:val="32"/>
          <w:highlight w:val="none"/>
          <w:lang w:val="en-US" w:eastAsia="zh-CN"/>
        </w:rPr>
        <w:t>增加事业医疗预算</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2025年预算数为0.89万元，比上年预算减少0.24万元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下降21.2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主要原因是：本年度在职人员减少 2 人，导致工资、社保费及住房公积金减少。</w:t>
      </w:r>
    </w:p>
    <w:p>
      <w:pPr>
        <w:keepNext w:val="0"/>
        <w:keepLines w:val="0"/>
        <w:widowControl/>
        <w:suppressLineNumbers w:val="0"/>
        <w:ind w:firstLine="620" w:firstLineChars="20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9.</w:t>
      </w:r>
      <w:r>
        <w:rPr>
          <w:rFonts w:hint="default" w:ascii="Times New Roman" w:hAnsi="Times New Roman" w:eastAsia="仿宋_GB2312" w:cs="Times New Roman"/>
          <w:color w:val="000000"/>
          <w:kern w:val="0"/>
          <w:sz w:val="31"/>
          <w:szCs w:val="31"/>
          <w:lang w:val="en-US" w:eastAsia="zh-CN" w:bidi="ar"/>
        </w:rPr>
        <w:t>住房保障支出（类）住房改革支出（款）住房公积金（项）：</w:t>
      </w: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仿宋_GB2312" w:cs="Times New Roman"/>
          <w:color w:val="000000"/>
          <w:kern w:val="0"/>
          <w:sz w:val="31"/>
          <w:szCs w:val="31"/>
          <w:lang w:val="en-US" w:eastAsia="zh-CN" w:bidi="ar"/>
        </w:rPr>
        <w:t>年预算数为16.66万元，比上年预算减少2.45万元，下降</w:t>
      </w:r>
      <w:r>
        <w:rPr>
          <w:rFonts w:hint="default" w:ascii="Times New Roman" w:hAnsi="Times New Roman" w:eastAsia="宋体" w:cs="Times New Roman"/>
          <w:color w:val="000000"/>
          <w:kern w:val="0"/>
          <w:sz w:val="31"/>
          <w:szCs w:val="31"/>
          <w:lang w:val="en-US" w:eastAsia="zh-CN" w:bidi="ar"/>
        </w:rPr>
        <w:t>12.82%</w:t>
      </w:r>
      <w:r>
        <w:rPr>
          <w:rFonts w:hint="default" w:ascii="Times New Roman" w:hAnsi="Times New Roman" w:eastAsia="仿宋_GB2312" w:cs="Times New Roman"/>
          <w:color w:val="000000"/>
          <w:kern w:val="0"/>
          <w:sz w:val="31"/>
          <w:szCs w:val="31"/>
          <w:lang w:val="en-US" w:eastAsia="zh-CN" w:bidi="ar"/>
        </w:rPr>
        <w:t>，主要原因是：本年度在职人员减少 2 人，导致工资、社保费及住房公积金减少。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六、关于中国共产党焉耆回族自治县委员会党校2025年一般公共预算基本支出情况说明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中国共产党焉耆回族自治县委员会党校2025年一般公共预算基本支出284.20万元，其中：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人员经费214.82万元，主要包括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公用经费69.38万元，主要包括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办公费、印刷费、水费、电费、邮电费、取暖费、</w:t>
      </w:r>
      <w:r>
        <w:rPr>
          <w:rFonts w:hint="eastAsia" w:eastAsia="仿宋_GB2312" w:cs="Times New Roman"/>
          <w:color w:val="auto"/>
          <w:spacing w:val="-6"/>
          <w:kern w:val="0"/>
          <w:sz w:val="32"/>
          <w:szCs w:val="32"/>
          <w:highlight w:val="none"/>
          <w:lang w:val="en-US" w:eastAsia="zh-CN"/>
        </w:rPr>
        <w:t>培训费、</w:t>
      </w:r>
      <w:r>
        <w:rPr>
          <w:rFonts w:hint="default" w:ascii="Times New Roman" w:hAnsi="Times New Roman" w:eastAsia="仿宋_GB2312" w:cs="Times New Roman"/>
          <w:color w:val="auto"/>
          <w:spacing w:val="-6"/>
          <w:kern w:val="0"/>
          <w:sz w:val="32"/>
          <w:szCs w:val="32"/>
          <w:highlight w:val="none"/>
          <w:lang w:val="en-US" w:eastAsia="zh-CN"/>
        </w:rPr>
        <w:t>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七、关于中国共产党焉耆回族自治县委员会党校2025年一般公共预算项目支出情况说明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八、关于中国共产党焉耆回族自治县委员会党校2025年政府性基金预算支出情况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九、关于中国共产党焉耆回族自治县委员会党校2025年国有资本经营预算拨款情况说明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十、关于中国共产党焉耆回族自治县委员会党校2025年财政拨款“三公”经费预算情况说明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中国共产党焉耆回族自治县委员会党校2025年财政拨款“三公”经费数为0万元，其中：因公出国（境）费0万元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与上年一致无变化。公务用车购置费增加0万元，增长0%,主要原因是：与上年一致无变化。公务用车运行费增加0万元，增长0%,主要原因是：与上年一致无变化。公务接待费增加0万元，增长0%,主要原因是：与上年一致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、关于中国共产党焉耆回族自治县委员会党校</w:t>
      </w:r>
      <w:r>
        <w:rPr>
          <w:rFonts w:hint="default" w:ascii="Times New Roman" w:hAnsi="Times New Roman" w:eastAsia="楷体_GB2312" w:cs="Times New Roman"/>
          <w:b/>
          <w:bCs/>
          <w:color w:val="auto"/>
          <w:kern w:val="0"/>
          <w:sz w:val="32"/>
          <w:szCs w:val="32"/>
          <w:highlight w:val="none"/>
          <w:lang w:val="en-US" w:eastAsia="zh-CN"/>
        </w:rPr>
        <w:t>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widowControl/>
        <w:suppressLineNumbers w:val="0"/>
        <w:ind w:firstLine="620" w:firstLineChars="200"/>
        <w:jc w:val="left"/>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0"/>
          <w:sz w:val="31"/>
          <w:szCs w:val="31"/>
          <w:lang w:val="en-US" w:eastAsia="zh-CN" w:bidi="ar"/>
        </w:rPr>
        <w:t>焉耆县委党校2025年没有上年结转结余预算的支出，上年结转结余情况明细表为空表。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中国共产党焉耆回族自治县委员会党校2025年的机关运行经费财政拨款预算69.38万元，比上年预算增加21.91万元，增长46.16%。主要原因是：</w:t>
      </w:r>
      <w:r>
        <w:rPr>
          <w:rFonts w:hint="eastAsia" w:eastAsia="仿宋_GB2312" w:cs="Times New Roman"/>
          <w:color w:val="auto"/>
          <w:kern w:val="0"/>
          <w:sz w:val="32"/>
          <w:szCs w:val="32"/>
          <w:highlight w:val="none"/>
          <w:lang w:val="en-US" w:eastAsia="zh-CN"/>
        </w:rPr>
        <w:t>党校</w:t>
      </w:r>
      <w:r>
        <w:rPr>
          <w:rFonts w:hint="default" w:ascii="Times New Roman" w:hAnsi="Times New Roman" w:eastAsia="仿宋_GB2312" w:cs="Times New Roman"/>
          <w:color w:val="000000"/>
          <w:kern w:val="0"/>
          <w:sz w:val="31"/>
          <w:szCs w:val="31"/>
          <w:lang w:val="en-US" w:eastAsia="zh-CN" w:bidi="ar"/>
        </w:rPr>
        <w:t xml:space="preserve">培训费预算增加。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2025年，中国共产党焉耆回族自治县委员会党校政府采购预算22.96万元，其中：政府采购货物预算3.61万元，政府采购工程预算0万元，政府采购服务预算19.35万元。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2025年，中国共产党焉耆回族自治县委员会党校面向中小企业预留政府采购项目预算金额22.96万元，小微企业预留政府采购项目预算金额22.96万元。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截至2024年底，中国共产党焉耆回族自治县委员会党校及下属各预算单位占用使用国有资产总体情况为：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1.房屋7480.42平方米，价值1280.57万元。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2.车辆1辆，价值22.39万元。其中：一般公务用车1辆，价值22.39万元，执法执勤用车0辆，价值0万元，其他用车0辆，价值0万元，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3.办公家具价值35.01万元。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4.其他资产价值150.97万元。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整体预算绩效目标1个，涉及预算金额284.20万元；当年预算安排项目共0个，其中: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按项目分别填报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中国共产党焉耆回族自治县委员会党校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岳丽</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0996-6029375</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负责培训焉耆县各级党政领导干部、公务员、国有企业领导人员、事业单位领导人员、年轻干部、理论宣传骨干、高层次人才、基层干部、党员，开展全县党校（行政学校）系统师资培训，全年培训班次4期，参训人数180人；承办焉耆县委和焉耆县人民政府以及相关部门举办的专题研讨班。不断提高党校授课教师政治理论素养与专业技术水平，选派2名教师分别申报本年度自治州党校精品课大赛、微党课大赛。</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284.20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培训班次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&gt;=4个班次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bookmarkStart w:id="0" w:name="_GoBack"/>
            <w:bookmarkEnd w:id="0"/>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培训人次</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&gt;=180 人</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申报州党校精品课大赛</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&gt;=1个</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申报州党校微党课大赛</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&gt;=1个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中国共产党焉耆回族自治县委员会党校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2025年2月20日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_x0000_s00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GMcf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OwlCIozx1/Gkr+PVFZrpbZoD5SxXWP8YDz&#10;jjjMaocWff5nHWIYTb0+m2qGJDQnl+vVel2y35rPbhvGKV4+j0jpqwEvclBL5K6NZqrLPaWp9FaS&#10;bwuwt85xXlUuvEowZs4UmfHEMUdpOA4z8SM0V9aLMA0CRb23fOe9onRQyJ1nnvw20gMvrYO+ljBH&#10;UnSAv/6Vz/XcED6VoudJqmXghyOF+xa4UXnobgHeguMtUEHzh7VMUpwj2lM38sqaKH45JxY66s8q&#10;JuqzOJ6G0cF5cvO4/bkfq15e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AuGMcfoAQAA&#10;9Q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_x0000_s00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zA3S3oAQAA9QMAAA4AAABkcnMvZTJvRG9jLnhtbK1TTYvbMBC9F/of&#10;hO6NHR9KMHGWQsiysHQD254XRZZigb6YUWKnv74j28l2tz3soTkoo9H46b03o/Xd4Cw7K0ATfMOX&#10;i5Iz5WVojT82/OeP3ZcVZ5iEb4UNXjX8opDfbT5/WvexVlXogm0VMALxWPex4V1KsS4KlJ1yAhch&#10;Kk+HOoATibZwLFoQPaE7W1Rl+bXoA7QRglSIlN1Oh3xGhI8ABq2NVNsgT075NKGCsiKRJOxMRL4Z&#10;2WqtZHrSGlVituGkNI0rXULxIa/FZi3qI4jYGTlTEB+h8E6TE8bTpTeorUiCncD8BeWMhIBBp4UM&#10;rpiEjI6QimX5zpvnTkQ1aiGrMd5Mx/8HK7+f98BMS5NQceaFo46/DCX9XrAsqyob1Eesqe457mHe&#10;IYVZ7aDB5X/SwYbR1MvNVDUkJim5XFWrVUl+Szq7bgineP08AqZ7FRzLQcOBujaaKc6PmKbSa0m+&#10;zYedsZbyorb+TYIwc6bIjCeOOUrDYZiJH0J7Ib0QpkHAKHeG7nwUmPYCqPPEk95GeqJF29A3PMwR&#10;Z12AX//K53pqCJ1y1tMkNdzTw+HMPnhqVB66awDX4HANhJf0YcMTZ6cI5tiNvLImjN9OiYSO+rOK&#10;ifosjqZhdHCe3Dxuf+7HqtfXu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zA3S3oAQAA&#10;9Q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9002D"/>
    <w:rsid w:val="00F96A38"/>
    <w:rsid w:val="01742607"/>
    <w:rsid w:val="019A644B"/>
    <w:rsid w:val="01A82198"/>
    <w:rsid w:val="01C37DFD"/>
    <w:rsid w:val="02051DBA"/>
    <w:rsid w:val="022562B8"/>
    <w:rsid w:val="023C6DA0"/>
    <w:rsid w:val="028F01C1"/>
    <w:rsid w:val="034A3FEF"/>
    <w:rsid w:val="03E24414"/>
    <w:rsid w:val="04C56D75"/>
    <w:rsid w:val="05513E6C"/>
    <w:rsid w:val="05B371A6"/>
    <w:rsid w:val="05E67529"/>
    <w:rsid w:val="068A4A77"/>
    <w:rsid w:val="06C531F5"/>
    <w:rsid w:val="06EC22BB"/>
    <w:rsid w:val="075B79C6"/>
    <w:rsid w:val="078367DB"/>
    <w:rsid w:val="08266DDE"/>
    <w:rsid w:val="082F6D63"/>
    <w:rsid w:val="085864D6"/>
    <w:rsid w:val="08CB05F3"/>
    <w:rsid w:val="08EC2EA1"/>
    <w:rsid w:val="09593A97"/>
    <w:rsid w:val="0A4037F5"/>
    <w:rsid w:val="0A9200E3"/>
    <w:rsid w:val="0AC00140"/>
    <w:rsid w:val="0AD65C93"/>
    <w:rsid w:val="0B4E3C46"/>
    <w:rsid w:val="0C4A2A2D"/>
    <w:rsid w:val="0C665740"/>
    <w:rsid w:val="0CA638FF"/>
    <w:rsid w:val="0D5E25B4"/>
    <w:rsid w:val="0E001A94"/>
    <w:rsid w:val="0EC33DA4"/>
    <w:rsid w:val="0F62289C"/>
    <w:rsid w:val="0F6873FB"/>
    <w:rsid w:val="0FC068B0"/>
    <w:rsid w:val="103F4BFF"/>
    <w:rsid w:val="10545FCD"/>
    <w:rsid w:val="10C65D84"/>
    <w:rsid w:val="12144177"/>
    <w:rsid w:val="123456F3"/>
    <w:rsid w:val="12480ACD"/>
    <w:rsid w:val="12606B7A"/>
    <w:rsid w:val="129E4013"/>
    <w:rsid w:val="13DB3705"/>
    <w:rsid w:val="143E6A9A"/>
    <w:rsid w:val="14684605"/>
    <w:rsid w:val="14AA079B"/>
    <w:rsid w:val="150E1879"/>
    <w:rsid w:val="152C714A"/>
    <w:rsid w:val="158E6CDF"/>
    <w:rsid w:val="159003D6"/>
    <w:rsid w:val="16302633"/>
    <w:rsid w:val="166B2872"/>
    <w:rsid w:val="16A8708A"/>
    <w:rsid w:val="17882077"/>
    <w:rsid w:val="18172470"/>
    <w:rsid w:val="18905602"/>
    <w:rsid w:val="18E911FF"/>
    <w:rsid w:val="19314BE1"/>
    <w:rsid w:val="193752A1"/>
    <w:rsid w:val="198A3C56"/>
    <w:rsid w:val="198D6351"/>
    <w:rsid w:val="1A433DE5"/>
    <w:rsid w:val="1A8B3AA0"/>
    <w:rsid w:val="1ABF6A8B"/>
    <w:rsid w:val="1AE46B36"/>
    <w:rsid w:val="1AF11C94"/>
    <w:rsid w:val="1B3A1728"/>
    <w:rsid w:val="1BE10FE6"/>
    <w:rsid w:val="1C0A1BAE"/>
    <w:rsid w:val="1C415B57"/>
    <w:rsid w:val="1CBC7A7B"/>
    <w:rsid w:val="1D0C19A9"/>
    <w:rsid w:val="1D1C65A4"/>
    <w:rsid w:val="1DD6005D"/>
    <w:rsid w:val="1DDD077A"/>
    <w:rsid w:val="1E0E4660"/>
    <w:rsid w:val="1E8159EF"/>
    <w:rsid w:val="1F4A1C41"/>
    <w:rsid w:val="1F8141F1"/>
    <w:rsid w:val="1FCB3B4F"/>
    <w:rsid w:val="20207F31"/>
    <w:rsid w:val="20242C2C"/>
    <w:rsid w:val="203F35CE"/>
    <w:rsid w:val="20B72C44"/>
    <w:rsid w:val="21DE260C"/>
    <w:rsid w:val="227C4249"/>
    <w:rsid w:val="22C956C3"/>
    <w:rsid w:val="22FE6DD1"/>
    <w:rsid w:val="235403E4"/>
    <w:rsid w:val="2366568C"/>
    <w:rsid w:val="23C67B95"/>
    <w:rsid w:val="247720B7"/>
    <w:rsid w:val="24953A61"/>
    <w:rsid w:val="252453F3"/>
    <w:rsid w:val="25873C1A"/>
    <w:rsid w:val="2625795C"/>
    <w:rsid w:val="266A01D0"/>
    <w:rsid w:val="268B4943"/>
    <w:rsid w:val="26E265B4"/>
    <w:rsid w:val="27B21370"/>
    <w:rsid w:val="27C50055"/>
    <w:rsid w:val="280C7633"/>
    <w:rsid w:val="288104CA"/>
    <w:rsid w:val="28C94B29"/>
    <w:rsid w:val="2A1C2AFE"/>
    <w:rsid w:val="2A545A58"/>
    <w:rsid w:val="2A635551"/>
    <w:rsid w:val="2A9D205E"/>
    <w:rsid w:val="2B314B64"/>
    <w:rsid w:val="2B5259BE"/>
    <w:rsid w:val="2BDC5499"/>
    <w:rsid w:val="2C05089E"/>
    <w:rsid w:val="2C67485C"/>
    <w:rsid w:val="2C76527F"/>
    <w:rsid w:val="2CC707A6"/>
    <w:rsid w:val="2D0B21F3"/>
    <w:rsid w:val="2E32483E"/>
    <w:rsid w:val="2E3D53E2"/>
    <w:rsid w:val="2E7D1F32"/>
    <w:rsid w:val="2F632EF5"/>
    <w:rsid w:val="2F8D1128"/>
    <w:rsid w:val="2FB54CBE"/>
    <w:rsid w:val="2FD464F3"/>
    <w:rsid w:val="3136417C"/>
    <w:rsid w:val="315D5FC8"/>
    <w:rsid w:val="31696648"/>
    <w:rsid w:val="3182513D"/>
    <w:rsid w:val="31DB527A"/>
    <w:rsid w:val="32232B05"/>
    <w:rsid w:val="323365A6"/>
    <w:rsid w:val="334C2C27"/>
    <w:rsid w:val="337E1309"/>
    <w:rsid w:val="339D6A72"/>
    <w:rsid w:val="35637910"/>
    <w:rsid w:val="359C7319"/>
    <w:rsid w:val="36072CA8"/>
    <w:rsid w:val="36EC2F4A"/>
    <w:rsid w:val="37541073"/>
    <w:rsid w:val="381F7888"/>
    <w:rsid w:val="38B92E4F"/>
    <w:rsid w:val="396513CF"/>
    <w:rsid w:val="3981556C"/>
    <w:rsid w:val="39834ADA"/>
    <w:rsid w:val="3987600B"/>
    <w:rsid w:val="39D00AAA"/>
    <w:rsid w:val="3A2A1339"/>
    <w:rsid w:val="3A554704"/>
    <w:rsid w:val="3B091688"/>
    <w:rsid w:val="3B7E645F"/>
    <w:rsid w:val="3BFB5516"/>
    <w:rsid w:val="3C266424"/>
    <w:rsid w:val="3CA06358"/>
    <w:rsid w:val="3DB5284B"/>
    <w:rsid w:val="3E586879"/>
    <w:rsid w:val="3E7842BE"/>
    <w:rsid w:val="3EC02E56"/>
    <w:rsid w:val="3EC56D18"/>
    <w:rsid w:val="3ED01F35"/>
    <w:rsid w:val="3F0919BD"/>
    <w:rsid w:val="3F6F207E"/>
    <w:rsid w:val="40CA3FB7"/>
    <w:rsid w:val="413454A8"/>
    <w:rsid w:val="414B63C9"/>
    <w:rsid w:val="41C77867"/>
    <w:rsid w:val="420455E6"/>
    <w:rsid w:val="42125CF5"/>
    <w:rsid w:val="42A10D0B"/>
    <w:rsid w:val="43B97B2D"/>
    <w:rsid w:val="43F46285"/>
    <w:rsid w:val="441E72A5"/>
    <w:rsid w:val="442D768B"/>
    <w:rsid w:val="447834C3"/>
    <w:rsid w:val="44831E96"/>
    <w:rsid w:val="453C0288"/>
    <w:rsid w:val="45F165C6"/>
    <w:rsid w:val="45F500CC"/>
    <w:rsid w:val="463E70E9"/>
    <w:rsid w:val="466529DD"/>
    <w:rsid w:val="46E044D9"/>
    <w:rsid w:val="46EA13FD"/>
    <w:rsid w:val="47090E86"/>
    <w:rsid w:val="47224849"/>
    <w:rsid w:val="473F3972"/>
    <w:rsid w:val="477B1CFF"/>
    <w:rsid w:val="47CE1B9B"/>
    <w:rsid w:val="47D63C8B"/>
    <w:rsid w:val="48215580"/>
    <w:rsid w:val="485870AF"/>
    <w:rsid w:val="486D5D24"/>
    <w:rsid w:val="48F311A5"/>
    <w:rsid w:val="49522A59"/>
    <w:rsid w:val="4A125744"/>
    <w:rsid w:val="4A6A6793"/>
    <w:rsid w:val="4A7E50E4"/>
    <w:rsid w:val="4A8A7D97"/>
    <w:rsid w:val="4B6965B7"/>
    <w:rsid w:val="4C264BB3"/>
    <w:rsid w:val="4CCA5641"/>
    <w:rsid w:val="4D146920"/>
    <w:rsid w:val="4DAB06E8"/>
    <w:rsid w:val="4DB41618"/>
    <w:rsid w:val="4DD8657B"/>
    <w:rsid w:val="4E0E0610"/>
    <w:rsid w:val="4E0E6C2C"/>
    <w:rsid w:val="4E873AD0"/>
    <w:rsid w:val="4ECD6AC6"/>
    <w:rsid w:val="4EE30E10"/>
    <w:rsid w:val="50A110C3"/>
    <w:rsid w:val="50DF22F4"/>
    <w:rsid w:val="513A0D79"/>
    <w:rsid w:val="517E5EE0"/>
    <w:rsid w:val="51FA00C2"/>
    <w:rsid w:val="51FD4E46"/>
    <w:rsid w:val="52782A69"/>
    <w:rsid w:val="52E54FBB"/>
    <w:rsid w:val="532B4DA9"/>
    <w:rsid w:val="53A64E2A"/>
    <w:rsid w:val="542438A0"/>
    <w:rsid w:val="5425087D"/>
    <w:rsid w:val="547721F6"/>
    <w:rsid w:val="55563E4D"/>
    <w:rsid w:val="55BF3491"/>
    <w:rsid w:val="56532439"/>
    <w:rsid w:val="568E562D"/>
    <w:rsid w:val="56BA4BEE"/>
    <w:rsid w:val="573C6A1E"/>
    <w:rsid w:val="573F778F"/>
    <w:rsid w:val="577C79DF"/>
    <w:rsid w:val="58005559"/>
    <w:rsid w:val="581F5E3A"/>
    <w:rsid w:val="589470C0"/>
    <w:rsid w:val="58E91025"/>
    <w:rsid w:val="58F42912"/>
    <w:rsid w:val="59D37656"/>
    <w:rsid w:val="59FA6274"/>
    <w:rsid w:val="5B5D1F2D"/>
    <w:rsid w:val="5BA4275A"/>
    <w:rsid w:val="5BF52C7B"/>
    <w:rsid w:val="5C284F1D"/>
    <w:rsid w:val="5C6B7799"/>
    <w:rsid w:val="5D1061E2"/>
    <w:rsid w:val="5DC1605D"/>
    <w:rsid w:val="5E87615E"/>
    <w:rsid w:val="5E8E38F8"/>
    <w:rsid w:val="5EDB3BA1"/>
    <w:rsid w:val="5F622565"/>
    <w:rsid w:val="5F656E88"/>
    <w:rsid w:val="5F7A076D"/>
    <w:rsid w:val="5F9E6BBF"/>
    <w:rsid w:val="5FFE0DB3"/>
    <w:rsid w:val="603142A3"/>
    <w:rsid w:val="60A957D0"/>
    <w:rsid w:val="60B02578"/>
    <w:rsid w:val="61D10D64"/>
    <w:rsid w:val="61EA17C6"/>
    <w:rsid w:val="621A1DEE"/>
    <w:rsid w:val="63CD6BDD"/>
    <w:rsid w:val="63DE05BE"/>
    <w:rsid w:val="64DC7CA8"/>
    <w:rsid w:val="64E62308"/>
    <w:rsid w:val="65911C36"/>
    <w:rsid w:val="659D6A3A"/>
    <w:rsid w:val="65BF24B2"/>
    <w:rsid w:val="65E456EE"/>
    <w:rsid w:val="65EE75C7"/>
    <w:rsid w:val="66913211"/>
    <w:rsid w:val="6702550D"/>
    <w:rsid w:val="67367DCB"/>
    <w:rsid w:val="67B718D3"/>
    <w:rsid w:val="67DE6A4E"/>
    <w:rsid w:val="687515D1"/>
    <w:rsid w:val="68954005"/>
    <w:rsid w:val="68E70D55"/>
    <w:rsid w:val="68F02183"/>
    <w:rsid w:val="690539BF"/>
    <w:rsid w:val="69057D39"/>
    <w:rsid w:val="694F727E"/>
    <w:rsid w:val="695369FD"/>
    <w:rsid w:val="69687DB7"/>
    <w:rsid w:val="6A160A45"/>
    <w:rsid w:val="6A191330"/>
    <w:rsid w:val="6ABF5D69"/>
    <w:rsid w:val="6AE95043"/>
    <w:rsid w:val="6B217E58"/>
    <w:rsid w:val="6B5A268E"/>
    <w:rsid w:val="6BA92260"/>
    <w:rsid w:val="6C667C70"/>
    <w:rsid w:val="6C7720E8"/>
    <w:rsid w:val="6D507318"/>
    <w:rsid w:val="6D800090"/>
    <w:rsid w:val="6DB63B4D"/>
    <w:rsid w:val="6E0378A6"/>
    <w:rsid w:val="6F4868DD"/>
    <w:rsid w:val="6F4F5EA1"/>
    <w:rsid w:val="6F4F700A"/>
    <w:rsid w:val="6FD764E2"/>
    <w:rsid w:val="70393EA0"/>
    <w:rsid w:val="706E52DB"/>
    <w:rsid w:val="70C53317"/>
    <w:rsid w:val="70DC661C"/>
    <w:rsid w:val="70FC6D81"/>
    <w:rsid w:val="71B11A68"/>
    <w:rsid w:val="72007741"/>
    <w:rsid w:val="72132F7C"/>
    <w:rsid w:val="725F67F9"/>
    <w:rsid w:val="730B4AAF"/>
    <w:rsid w:val="734343E5"/>
    <w:rsid w:val="73B317C4"/>
    <w:rsid w:val="746F4D65"/>
    <w:rsid w:val="75FE1000"/>
    <w:rsid w:val="766F67D7"/>
    <w:rsid w:val="7697455B"/>
    <w:rsid w:val="77396828"/>
    <w:rsid w:val="779D11EF"/>
    <w:rsid w:val="781236A0"/>
    <w:rsid w:val="783A3E8D"/>
    <w:rsid w:val="78B10ADB"/>
    <w:rsid w:val="79176BA2"/>
    <w:rsid w:val="794B586E"/>
    <w:rsid w:val="79C36BF8"/>
    <w:rsid w:val="79CB68FE"/>
    <w:rsid w:val="7A900CA7"/>
    <w:rsid w:val="7B1F1BE2"/>
    <w:rsid w:val="7C2C2DBE"/>
    <w:rsid w:val="7C983E00"/>
    <w:rsid w:val="7CB60C1D"/>
    <w:rsid w:val="7D8766DA"/>
    <w:rsid w:val="7DBF3F3A"/>
    <w:rsid w:val="7DC5475D"/>
    <w:rsid w:val="7DF317A5"/>
    <w:rsid w:val="7DF832EF"/>
    <w:rsid w:val="7EFE2693"/>
    <w:rsid w:val="7F190410"/>
    <w:rsid w:val="7F1E7865"/>
    <w:rsid w:val="7FBB1F4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7d437-3dfc-43ba-b1bb-86305d29a160}">
  <ds:schemaRefs/>
</ds:datastoreItem>
</file>

<file path=customXml/itemProps3.xml><?xml version="1.0" encoding="utf-8"?>
<ds:datastoreItem xmlns:ds="http://schemas.openxmlformats.org/officeDocument/2006/customXml" ds:itemID="{5dcbd7bd-3408-4f75-a023-bdad8b758cc7}">
  <ds:schemaRefs/>
</ds:datastoreItem>
</file>

<file path=customXml/itemProps4.xml><?xml version="1.0" encoding="utf-8"?>
<ds:datastoreItem xmlns:ds="http://schemas.openxmlformats.org/officeDocument/2006/customXml" ds:itemID="{71830489-193f-408d-975b-b3052623eb2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2241</Words>
  <Characters>2650</Characters>
  <Lines>0</Lines>
  <Paragraphs>0</Paragraphs>
  <TotalTime>13</TotalTime>
  <ScaleCrop>false</ScaleCrop>
  <LinksUpToDate>false</LinksUpToDate>
  <CharactersWithSpaces>3003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2025-04-28T03:25:20Z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eyJoZGlkIjoiMjYwNjEzMDUyMWNhOGQ4YWE1YzI5MDA5ZjlkMjMzNDcifQ==</vt:lpwstr>
  </property>
  <property fmtid="{D5CDD505-2E9C-101B-9397-08002B2CF9AE}" pid="4" name="ICV">
    <vt:lpwstr>77A21820BED046C5B84904CCEFF92344_12</vt:lpwstr>
  </property>
</Properties>
</file>