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焉耆县</w:t>
      </w:r>
      <w:r>
        <w:rPr>
          <w:rFonts w:hint="eastAsia" w:ascii="方正小标宋_GBK" w:hAnsi="华文中宋" w:eastAsia="方正小标宋_GBK" w:cs="宋体"/>
          <w:b/>
          <w:kern w:val="0"/>
          <w:sz w:val="48"/>
          <w:szCs w:val="48"/>
          <w:lang w:eastAsia="zh-CN"/>
        </w:rPr>
        <w:t>五号渠乡</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Times New Roman" w:cs="宋体"/>
          <w:kern w:val="0"/>
          <w:sz w:val="36"/>
          <w:szCs w:val="36"/>
        </w:rPr>
      </w:pPr>
      <w:r>
        <w:rPr>
          <w:rFonts w:hAnsi="宋体" w:eastAsia="Times New Roman" w:cs="宋体"/>
          <w:kern w:val="0"/>
          <w:sz w:val="36"/>
          <w:szCs w:val="36"/>
        </w:rPr>
        <w:t>（201</w:t>
      </w:r>
      <w:r>
        <w:rPr>
          <w:rFonts w:hAnsi="宋体" w:cs="宋体"/>
          <w:kern w:val="0"/>
          <w:sz w:val="36"/>
          <w:szCs w:val="36"/>
        </w:rPr>
        <w:t>8</w:t>
      </w:r>
      <w:r>
        <w:rPr>
          <w:rFonts w:hAnsi="宋体" w:eastAsia="Times New Roman" w:cs="宋体"/>
          <w:kern w:val="0"/>
          <w:sz w:val="36"/>
          <w:szCs w:val="36"/>
        </w:rPr>
        <w:t>年度）</w:t>
      </w: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rPr>
          <w:rFonts w:hAnsi="宋体" w:eastAsia="Times New Roman" w:cs="宋体"/>
          <w:kern w:val="0"/>
          <w:sz w:val="30"/>
          <w:szCs w:val="30"/>
        </w:rPr>
      </w:pPr>
    </w:p>
    <w:p>
      <w:pPr>
        <w:spacing w:line="700" w:lineRule="exact"/>
        <w:ind w:firstLine="900" w:firstLineChars="250"/>
        <w:jc w:val="left"/>
        <w:rPr>
          <w:rFonts w:hAnsi="宋体" w:cs="宋体"/>
          <w:kern w:val="0"/>
          <w:sz w:val="36"/>
          <w:szCs w:val="36"/>
        </w:rPr>
      </w:pPr>
      <w:r>
        <w:rPr>
          <w:rFonts w:hAnsi="宋体" w:eastAsia="Times New Roman" w:cs="宋体"/>
          <w:kern w:val="0"/>
          <w:sz w:val="36"/>
          <w:szCs w:val="36"/>
        </w:rPr>
        <w:t>项目名称：</w:t>
      </w:r>
      <w:r>
        <w:rPr>
          <w:rFonts w:hint="eastAsia" w:hAnsi="宋体" w:cs="宋体"/>
          <w:kern w:val="0"/>
          <w:sz w:val="36"/>
          <w:szCs w:val="36"/>
        </w:rPr>
        <w:t>五号渠乡人行道建设</w:t>
      </w:r>
    </w:p>
    <w:p>
      <w:pPr>
        <w:spacing w:line="700" w:lineRule="exact"/>
        <w:ind w:firstLine="900" w:firstLineChars="250"/>
        <w:jc w:val="left"/>
        <w:rPr>
          <w:rFonts w:hAnsi="宋体" w:eastAsia="Times New Roman" w:cs="宋体"/>
          <w:spacing w:val="-34"/>
          <w:kern w:val="0"/>
          <w:sz w:val="36"/>
          <w:szCs w:val="36"/>
        </w:rPr>
      </w:pPr>
      <w:r>
        <w:rPr>
          <w:rFonts w:hAnsi="宋体" w:eastAsia="Times New Roman" w:cs="宋体"/>
          <w:kern w:val="0"/>
          <w:sz w:val="36"/>
          <w:szCs w:val="36"/>
        </w:rPr>
        <w:t>实施单位（公章）：</w:t>
      </w:r>
      <w:r>
        <w:rPr>
          <w:rFonts w:hAnsi="宋体" w:eastAsia="Times New Roman" w:cs="宋体"/>
          <w:spacing w:val="-34"/>
          <w:kern w:val="0"/>
          <w:sz w:val="36"/>
          <w:szCs w:val="36"/>
        </w:rPr>
        <w:t>焉耆回族自治县五号渠乡人民政府（本级）</w:t>
      </w:r>
    </w:p>
    <w:p>
      <w:pPr>
        <w:spacing w:line="700" w:lineRule="exact"/>
        <w:ind w:firstLine="849" w:firstLineChars="236"/>
        <w:jc w:val="left"/>
        <w:rPr>
          <w:rFonts w:hAnsi="宋体" w:eastAsia="Times New Roman" w:cs="宋体"/>
          <w:kern w:val="0"/>
          <w:sz w:val="36"/>
          <w:szCs w:val="36"/>
        </w:rPr>
      </w:pPr>
      <w:r>
        <w:rPr>
          <w:rFonts w:hAnsi="宋体" w:eastAsia="Times New Roman" w:cs="宋体"/>
          <w:kern w:val="0"/>
          <w:sz w:val="36"/>
          <w:szCs w:val="36"/>
        </w:rPr>
        <w:t>主管部门（公章）：</w:t>
      </w:r>
      <w:r>
        <w:rPr>
          <w:rFonts w:hAnsi="宋体" w:eastAsia="Times New Roman" w:cs="宋体"/>
          <w:spacing w:val="-34"/>
          <w:kern w:val="0"/>
          <w:sz w:val="36"/>
          <w:szCs w:val="36"/>
        </w:rPr>
        <w:t>焉耆回族自治县人民政府</w:t>
      </w:r>
    </w:p>
    <w:p>
      <w:pPr>
        <w:spacing w:line="700" w:lineRule="exact"/>
        <w:ind w:firstLine="849" w:firstLineChars="236"/>
        <w:jc w:val="left"/>
        <w:rPr>
          <w:rFonts w:hAnsi="宋体" w:cs="宋体"/>
          <w:kern w:val="0"/>
          <w:sz w:val="36"/>
          <w:szCs w:val="36"/>
        </w:rPr>
      </w:pPr>
      <w:r>
        <w:rPr>
          <w:rFonts w:hAnsi="宋体" w:eastAsia="Times New Roman" w:cs="宋体"/>
          <w:kern w:val="0"/>
          <w:sz w:val="36"/>
          <w:szCs w:val="36"/>
        </w:rPr>
        <w:t>项目负责人（签章）：</w:t>
      </w:r>
      <w:r>
        <w:rPr>
          <w:rFonts w:hint="eastAsia" w:hAnsi="宋体" w:cs="宋体"/>
          <w:kern w:val="0"/>
          <w:sz w:val="36"/>
          <w:szCs w:val="36"/>
        </w:rPr>
        <w:t>高尚斌</w:t>
      </w:r>
    </w:p>
    <w:p>
      <w:pPr>
        <w:spacing w:line="700" w:lineRule="exact"/>
        <w:ind w:firstLine="849" w:firstLineChars="236"/>
        <w:jc w:val="left"/>
        <w:rPr>
          <w:rFonts w:hAnsi="宋体" w:eastAsia="Times New Roman" w:cs="宋体"/>
          <w:kern w:val="0"/>
          <w:sz w:val="36"/>
          <w:szCs w:val="36"/>
        </w:rPr>
      </w:pPr>
      <w:r>
        <w:rPr>
          <w:rFonts w:hAnsi="宋体" w:eastAsia="Times New Roman" w:cs="宋体"/>
          <w:kern w:val="0"/>
          <w:sz w:val="36"/>
          <w:szCs w:val="36"/>
        </w:rPr>
        <w:t>填报时间：201</w:t>
      </w:r>
      <w:r>
        <w:rPr>
          <w:rFonts w:hAnsi="宋体" w:cs="宋体"/>
          <w:kern w:val="0"/>
          <w:sz w:val="36"/>
          <w:szCs w:val="36"/>
        </w:rPr>
        <w:t>9</w:t>
      </w:r>
      <w:r>
        <w:rPr>
          <w:rFonts w:hAnsi="宋体" w:eastAsia="Times New Roman" w:cs="宋体"/>
          <w:kern w:val="0"/>
          <w:sz w:val="36"/>
          <w:szCs w:val="36"/>
        </w:rPr>
        <w:t>年</w:t>
      </w:r>
      <w:r>
        <w:rPr>
          <w:rFonts w:hAnsi="宋体" w:cs="宋体"/>
          <w:kern w:val="0"/>
          <w:sz w:val="36"/>
          <w:szCs w:val="36"/>
        </w:rPr>
        <w:t>2</w:t>
      </w:r>
      <w:r>
        <w:rPr>
          <w:rFonts w:hAnsi="宋体" w:eastAsia="Times New Roman" w:cs="宋体"/>
          <w:kern w:val="0"/>
          <w:sz w:val="36"/>
          <w:szCs w:val="36"/>
        </w:rPr>
        <w:t>月1日</w:t>
      </w:r>
    </w:p>
    <w:p>
      <w:pPr>
        <w:spacing w:line="540" w:lineRule="exact"/>
        <w:jc w:val="center"/>
        <w:rPr>
          <w:rFonts w:hAnsi="宋体" w:eastAsia="Times New Roman" w:cs="宋体"/>
          <w:kern w:val="0"/>
          <w:sz w:val="30"/>
          <w:szCs w:val="30"/>
        </w:rPr>
      </w:pPr>
    </w:p>
    <w:p>
      <w:pPr>
        <w:spacing w:line="540" w:lineRule="exact"/>
        <w:rPr>
          <w:rStyle w:val="20"/>
          <w:rFonts w:ascii="黑体" w:hAnsi="黑体" w:eastAsia="黑体"/>
          <w:b w:val="0"/>
          <w:spacing w:val="-4"/>
          <w:sz w:val="32"/>
          <w:szCs w:val="32"/>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五号渠乡成立于1984年5月，位于焉耆县城以东南面5公里处，全乡行政总面积96平方公里，其中：耕地面积5.87万亩，草场面积0.56万亩。有8个行政村、2个社区、41个村民小组，由汉、回、维等3个民族构成，总人口4647户17090人。</w:t>
      </w:r>
    </w:p>
    <w:p>
      <w:pPr>
        <w:spacing w:line="540" w:lineRule="exact"/>
        <w:ind w:firstLine="565"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（二）项目预算绩效目标设定情况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人行道是基础设施建设的重要载体，由于美丽乡村建设人行道建设人行道项目事关整体形象和群众的出行安全。我乡在美丽乡村建设和管理中，始终坚持以人为本的理念，深入推进人行道的改造和建设。</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spacing w:line="540" w:lineRule="exact"/>
        <w:ind w:firstLine="565"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项目资金安排</w:t>
      </w:r>
      <w:r>
        <w:rPr>
          <w:rFonts w:ascii="仿宋_GB2312" w:eastAsia="仿宋_GB2312"/>
          <w:sz w:val="32"/>
          <w:szCs w:val="32"/>
        </w:rPr>
        <w:t>4.5</w:t>
      </w:r>
      <w:r>
        <w:rPr>
          <w:rFonts w:hint="eastAsia" w:ascii="仿宋_GB2312" w:eastAsia="仿宋_GB2312"/>
          <w:sz w:val="32"/>
          <w:szCs w:val="32"/>
        </w:rPr>
        <w:t>万元，总投入</w:t>
      </w:r>
      <w:r>
        <w:rPr>
          <w:rFonts w:ascii="仿宋_GB2312" w:eastAsia="仿宋_GB2312"/>
          <w:sz w:val="32"/>
          <w:szCs w:val="32"/>
        </w:rPr>
        <w:t>4.5</w:t>
      </w:r>
      <w:r>
        <w:rPr>
          <w:rFonts w:hint="eastAsia" w:ascii="仿宋_GB2312" w:eastAsia="仿宋_GB2312"/>
          <w:sz w:val="32"/>
          <w:szCs w:val="32"/>
        </w:rPr>
        <w:t>万元，全部是财政资金。</w:t>
      </w:r>
    </w:p>
    <w:p>
      <w:pPr>
        <w:spacing w:line="540" w:lineRule="exact"/>
        <w:ind w:firstLine="565"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spacing w:line="560"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年人行道建设项目到位资金</w:t>
      </w:r>
      <w:r>
        <w:rPr>
          <w:rFonts w:ascii="仿宋_GB2312" w:eastAsia="仿宋_GB2312"/>
          <w:sz w:val="32"/>
          <w:szCs w:val="32"/>
        </w:rPr>
        <w:t>4.5</w:t>
      </w:r>
      <w:r>
        <w:rPr>
          <w:rFonts w:hint="eastAsia" w:ascii="仿宋_GB2312" w:eastAsia="仿宋_GB2312"/>
          <w:sz w:val="32"/>
          <w:szCs w:val="32"/>
        </w:rPr>
        <w:t>万元，实际支出</w:t>
      </w:r>
      <w:r>
        <w:rPr>
          <w:rFonts w:ascii="仿宋_GB2312" w:eastAsia="仿宋_GB2312"/>
          <w:sz w:val="32"/>
          <w:szCs w:val="32"/>
        </w:rPr>
        <w:t>4.5</w:t>
      </w:r>
      <w:r>
        <w:rPr>
          <w:rFonts w:hint="eastAsia" w:ascii="仿宋_GB2312" w:eastAsia="仿宋_GB2312"/>
          <w:sz w:val="32"/>
          <w:szCs w:val="32"/>
        </w:rPr>
        <w:t>万元，资金利用率达到</w:t>
      </w:r>
      <w:r>
        <w:rPr>
          <w:rFonts w:ascii="仿宋_GB2312" w:eastAsia="仿宋_GB2312"/>
          <w:sz w:val="32"/>
          <w:szCs w:val="32"/>
        </w:rPr>
        <w:t>100</w:t>
      </w:r>
      <w:r>
        <w:rPr>
          <w:rFonts w:hint="eastAsia" w:ascii="仿宋_GB2312" w:eastAsia="仿宋_GB2312"/>
          <w:sz w:val="32"/>
          <w:szCs w:val="32"/>
        </w:rPr>
        <w:t>％。该项目主要由五号渠乡政府周围人行道的铺设。</w:t>
      </w:r>
    </w:p>
    <w:p>
      <w:pPr>
        <w:numPr>
          <w:ilvl w:val="0"/>
          <w:numId w:val="1"/>
        </w:numPr>
        <w:spacing w:line="540" w:lineRule="exact"/>
        <w:ind w:firstLine="565" w:firstLineChars="181"/>
        <w:rPr>
          <w:rStyle w:val="20"/>
          <w:rFonts w:ascii="楷体" w:hAnsi="楷体" w:eastAsia="楷体"/>
          <w:spacing w:val="-4"/>
          <w:sz w:val="32"/>
          <w:szCs w:val="32"/>
        </w:rPr>
      </w:pPr>
      <w:r>
        <w:rPr>
          <w:rStyle w:val="20"/>
          <w:rFonts w:hint="eastAsia" w:ascii="楷体" w:hAnsi="楷体" w:eastAsia="楷体"/>
          <w:spacing w:val="-4"/>
          <w:sz w:val="32"/>
          <w:szCs w:val="32"/>
        </w:rPr>
        <w:t>项目资金管理情况分析</w:t>
      </w:r>
    </w:p>
    <w:p>
      <w:pPr>
        <w:spacing w:line="560" w:lineRule="exact"/>
        <w:ind w:firstLine="640" w:firstLineChars="200"/>
        <w:outlineLvl w:val="0"/>
        <w:rPr>
          <w:rFonts w:ascii="仿宋_GB2312" w:eastAsia="仿宋_GB2312"/>
          <w:sz w:val="32"/>
          <w:szCs w:val="32"/>
        </w:rPr>
      </w:pPr>
      <w:r>
        <w:rPr>
          <w:rFonts w:hint="eastAsia" w:ascii="仿宋_GB2312" w:eastAsia="仿宋_GB2312"/>
          <w:sz w:val="32"/>
          <w:szCs w:val="32"/>
        </w:rPr>
        <w:t>乡项目办严格执行财务和专项资金等管理制度，做到了费用支出制度健全，会计核算规范，无虚列、挤占、挪用情况，无超标准开支情况。人行道建设具体事项有计划、资金使用有预算，采购程序严格按政府采购规定执行。保证该项专项资金专款专用，最大限度发挥资金效益。</w:t>
      </w:r>
    </w:p>
    <w:p>
      <w:pPr>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spacing w:line="540" w:lineRule="exact"/>
        <w:ind w:firstLine="565"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spacing w:line="540" w:lineRule="exact"/>
        <w:ind w:firstLine="777" w:firstLineChars="243"/>
        <w:rPr>
          <w:rFonts w:ascii="仿宋_GB2312" w:eastAsia="仿宋_GB2312"/>
          <w:b/>
          <w:bCs/>
        </w:rPr>
      </w:pPr>
      <w:r>
        <w:rPr>
          <w:rFonts w:hint="eastAsia" w:ascii="仿宋_GB2312" w:eastAsia="仿宋_GB2312"/>
          <w:sz w:val="32"/>
          <w:szCs w:val="32"/>
        </w:rPr>
        <w:t>乡党委对人行道建设项目经费的监管负主体责任，落实专账记载、专款专用，严禁改变用途、挪用挤占，严禁弄虚作假，严禁违规发放津贴补贴，严禁用于其他支出。</w:t>
      </w:r>
    </w:p>
    <w:p>
      <w:pPr>
        <w:spacing w:line="540" w:lineRule="exact"/>
        <w:ind w:firstLine="565"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60" w:lineRule="exact"/>
        <w:ind w:firstLine="640" w:firstLineChars="200"/>
        <w:outlineLvl w:val="0"/>
        <w:rPr>
          <w:rFonts w:ascii="仿宋_GB2312" w:eastAsia="仿宋_GB2312"/>
          <w:sz w:val="32"/>
          <w:szCs w:val="32"/>
        </w:rPr>
      </w:pPr>
      <w:r>
        <w:rPr>
          <w:rFonts w:hint="eastAsia" w:ascii="仿宋_GB2312" w:eastAsia="仿宋_GB2312"/>
          <w:sz w:val="32"/>
          <w:szCs w:val="32"/>
        </w:rPr>
        <w:t>乡人行道建设项目资金使用计划，按照资金使用范围和有关规定，采购程序严格按政府采购规定执行。保证该项专项资金专款专用，最大限度发挥资金效益。</w:t>
      </w:r>
    </w:p>
    <w:p>
      <w:pPr>
        <w:spacing w:line="540" w:lineRule="exact"/>
        <w:ind w:firstLine="640"/>
        <w:rPr>
          <w:rStyle w:val="20"/>
          <w:rFonts w:ascii="黑体" w:hAnsi="黑体" w:eastAsia="黑体"/>
        </w:rPr>
      </w:pPr>
      <w:r>
        <w:rPr>
          <w:rStyle w:val="20"/>
          <w:rFonts w:hint="eastAsia" w:ascii="黑体" w:hAnsi="黑体" w:eastAsia="黑体"/>
          <w:b w:val="0"/>
          <w:spacing w:val="-4"/>
          <w:sz w:val="32"/>
          <w:szCs w:val="32"/>
        </w:rPr>
        <w:t>四、项目绩效情况</w:t>
      </w:r>
    </w:p>
    <w:p>
      <w:p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777" w:firstLineChars="243"/>
        <w:rPr>
          <w:rFonts w:ascii="仿宋_GB2312" w:eastAsia="仿宋_GB2312"/>
          <w:sz w:val="32"/>
          <w:szCs w:val="32"/>
        </w:rPr>
      </w:pPr>
      <w:r>
        <w:rPr>
          <w:rFonts w:hint="eastAsia" w:ascii="仿宋_GB2312" w:eastAsia="仿宋_GB2312"/>
          <w:sz w:val="32"/>
          <w:szCs w:val="32"/>
        </w:rPr>
        <w:t>总体上看，项目资金管理、工作实施组织管理制度较为完善，执行力度高。按照预先设定的评价指标体系，项目绩效评价得分为</w:t>
      </w:r>
      <w:r>
        <w:rPr>
          <w:rFonts w:ascii="仿宋_GB2312" w:eastAsia="仿宋_GB2312"/>
          <w:sz w:val="32"/>
          <w:szCs w:val="32"/>
        </w:rPr>
        <w:t>95</w:t>
      </w:r>
      <w:r>
        <w:rPr>
          <w:rFonts w:hint="eastAsia" w:ascii="仿宋_GB2312" w:eastAsia="仿宋_GB2312"/>
          <w:sz w:val="32"/>
          <w:szCs w:val="32"/>
        </w:rPr>
        <w:t>分。</w:t>
      </w:r>
    </w:p>
    <w:p>
      <w:p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873" w:firstLineChars="280"/>
        <w:rPr>
          <w:rStyle w:val="20"/>
          <w:rFonts w:ascii="仿宋" w:hAnsi="仿宋" w:eastAsia="仿宋"/>
          <w:b w:val="0"/>
          <w:spacing w:val="-4"/>
          <w:sz w:val="32"/>
          <w:szCs w:val="32"/>
        </w:rPr>
      </w:pPr>
      <w:r>
        <w:rPr>
          <w:rStyle w:val="20"/>
          <w:rFonts w:hint="eastAsia" w:ascii="仿宋" w:hAnsi="仿宋" w:eastAsia="仿宋"/>
          <w:b w:val="0"/>
          <w:spacing w:val="-4"/>
          <w:sz w:val="32"/>
          <w:szCs w:val="32"/>
        </w:rPr>
        <w:t>无。</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77" w:firstLineChars="243"/>
        <w:rPr>
          <w:rFonts w:ascii="仿宋_GB2312" w:eastAsia="仿宋_GB2312"/>
          <w:sz w:val="32"/>
          <w:szCs w:val="32"/>
        </w:rPr>
      </w:pPr>
      <w:r>
        <w:rPr>
          <w:rFonts w:hint="eastAsia" w:ascii="仿宋_GB2312" w:eastAsia="仿宋_GB2312"/>
          <w:sz w:val="32"/>
          <w:szCs w:val="32"/>
        </w:rPr>
        <w:t>切实加强对工作经费的监督管理，对经费支出使用、落实到位等情况随机进行检查，确保工作经费使用公开透明、安全高效。对出现的截留、挤占、挪用、违规使用，并依照有关规定，追究直接责任人和相关负责人的责任。人行道进行日常性维修。布置人行道养护维修工作，做到“随坏随修，应修尽修”。</w:t>
      </w:r>
    </w:p>
    <w:p>
      <w:pPr>
        <w:numPr>
          <w:ilvl w:val="0"/>
          <w:numId w:val="2"/>
        </w:num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主要经验及做法、存在问题和建议</w:t>
      </w:r>
    </w:p>
    <w:p>
      <w:pPr>
        <w:spacing w:line="540" w:lineRule="exact"/>
        <w:ind w:firstLine="777" w:firstLineChars="243"/>
        <w:rPr>
          <w:rFonts w:ascii="仿宋_GB2312" w:eastAsia="仿宋_GB2312"/>
          <w:sz w:val="32"/>
          <w:szCs w:val="32"/>
        </w:rPr>
      </w:pPr>
      <w:r>
        <w:rPr>
          <w:rFonts w:hint="eastAsia" w:ascii="仿宋_GB2312" w:eastAsia="仿宋_GB2312"/>
          <w:sz w:val="32"/>
          <w:szCs w:val="32"/>
        </w:rPr>
        <w:t>乡领导对人行道建设项目建设工作高度重视，经常到项目建设现场了解情况，解决项目改造中出现的困难和问题</w:t>
      </w:r>
      <w:r>
        <w:rPr>
          <w:rFonts w:ascii="仿宋_GB2312" w:eastAsia="仿宋_GB2312"/>
          <w:sz w:val="32"/>
          <w:szCs w:val="32"/>
        </w:rPr>
        <w:t>,</w:t>
      </w:r>
      <w:r>
        <w:rPr>
          <w:rFonts w:hint="eastAsia" w:ascii="仿宋_GB2312" w:eastAsia="仿宋_GB2312"/>
          <w:sz w:val="32"/>
          <w:szCs w:val="32"/>
        </w:rPr>
        <w:t>督查项目工程建设进度和质量，项目施工单位严格按照项目要求，积极组织力量，精心搞好项目建设。项目效益和项目投资总量及资金来源等重要事项在当地公示，主动接受群众和社会各界的监督，对项目实施的每个环节都进行严格的检查与督促。</w:t>
      </w:r>
    </w:p>
    <w:p>
      <w:p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79" w:firstLineChars="181"/>
        <w:rPr>
          <w:rFonts w:ascii="??_GB2312" w:eastAsia="Times New Roman"/>
          <w:sz w:val="32"/>
          <w:szCs w:val="32"/>
        </w:rPr>
      </w:pPr>
      <w:r>
        <w:rPr>
          <w:rFonts w:ascii="??_GB2312" w:eastAsia="Times New Roman"/>
          <w:sz w:val="32"/>
          <w:szCs w:val="32"/>
        </w:rPr>
        <w:t>无</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六、项目评价工作情况</w:t>
      </w:r>
    </w:p>
    <w:p>
      <w:pPr>
        <w:spacing w:line="540" w:lineRule="exact"/>
        <w:ind w:firstLine="640"/>
        <w:rPr>
          <w:rFonts w:ascii="仿宋_GB2312" w:eastAsia="仿宋_GB2312"/>
          <w:color w:val="000000"/>
          <w:spacing w:val="-4"/>
          <w:sz w:val="32"/>
          <w:szCs w:val="32"/>
          <w:shd w:val="clear" w:color="auto" w:fill="FFFFFF"/>
        </w:rPr>
      </w:pPr>
      <w:r>
        <w:rPr>
          <w:rFonts w:hint="eastAsia" w:ascii="仿宋_GB2312" w:eastAsia="仿宋_GB2312"/>
          <w:sz w:val="32"/>
          <w:szCs w:val="32"/>
        </w:rPr>
        <w:t>本次绩效评价秉承科学规范、公平公正、绩效相关等原则，按照从投入、过程管理到产出、效果和影响力的绩效逻辑路径，结合</w:t>
      </w:r>
      <w:r>
        <w:rPr>
          <w:rFonts w:ascii="仿宋_GB2312" w:eastAsia="仿宋_GB2312"/>
          <w:sz w:val="32"/>
          <w:szCs w:val="32"/>
        </w:rPr>
        <w:t>2018</w:t>
      </w:r>
      <w:r>
        <w:rPr>
          <w:rFonts w:hint="eastAsia" w:ascii="仿宋_GB2312" w:eastAsia="仿宋_GB2312"/>
          <w:sz w:val="32"/>
          <w:szCs w:val="32"/>
        </w:rPr>
        <w:t>年</w:t>
      </w:r>
      <w:r>
        <w:rPr>
          <w:rFonts w:hint="eastAsia" w:ascii="仿宋_GB2312" w:eastAsia="仿宋_GB2312"/>
          <w:color w:val="000000"/>
          <w:spacing w:val="-4"/>
          <w:sz w:val="32"/>
          <w:szCs w:val="32"/>
          <w:shd w:val="clear" w:color="auto" w:fill="FFFFFF"/>
        </w:rPr>
        <w:t>五号渠乡人行道建设项目按照规定，专款专用，没有出现挪用挤占，没有用于其他方面的支出。</w:t>
      </w:r>
    </w:p>
    <w:p>
      <w:pPr>
        <w:pStyle w:val="11"/>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64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spacing w:line="540" w:lineRule="exact"/>
        <w:ind w:firstLine="640"/>
        <w:rPr>
          <w:rStyle w:val="20"/>
          <w:rFonts w:ascii="仿宋" w:hAnsi="仿宋" w:eastAsia="仿宋"/>
          <w:b w:val="0"/>
          <w:spacing w:val="-4"/>
          <w:sz w:val="32"/>
          <w:szCs w:val="32"/>
        </w:rPr>
      </w:pPr>
    </w:p>
    <w:p>
      <w:pPr>
        <w:spacing w:line="540" w:lineRule="exact"/>
        <w:ind w:firstLine="640"/>
        <w:rPr>
          <w:rStyle w:val="20"/>
          <w:rFonts w:ascii="仿宋" w:hAnsi="仿宋" w:eastAsia="仿宋"/>
          <w:b w:val="0"/>
          <w:spacing w:val="-4"/>
          <w:sz w:val="32"/>
          <w:szCs w:val="32"/>
        </w:rPr>
      </w:pPr>
    </w:p>
    <w:p>
      <w:pPr>
        <w:spacing w:line="540" w:lineRule="exact"/>
        <w:ind w:firstLine="640"/>
        <w:rPr>
          <w:rStyle w:val="20"/>
          <w:rFonts w:ascii="仿宋" w:hAnsi="仿宋" w:eastAsia="仿宋"/>
          <w:b w:val="0"/>
          <w:spacing w:val="-4"/>
          <w:sz w:val="32"/>
          <w:szCs w:val="32"/>
        </w:rPr>
      </w:pPr>
    </w:p>
    <w:p>
      <w:pPr>
        <w:spacing w:line="540" w:lineRule="exact"/>
        <w:ind w:firstLine="640"/>
        <w:rPr>
          <w:rFonts w:ascii="??_GB2312"/>
          <w:sz w:val="32"/>
          <w:szCs w:val="32"/>
        </w:rPr>
      </w:pPr>
    </w:p>
    <w:p>
      <w:pPr>
        <w:spacing w:line="540" w:lineRule="exact"/>
        <w:ind w:firstLine="640"/>
        <w:rPr>
          <w:rFonts w:ascii="??_GB2312"/>
          <w:sz w:val="32"/>
          <w:szCs w:val="32"/>
        </w:rPr>
      </w:pPr>
    </w:p>
    <w:p>
      <w:pPr>
        <w:spacing w:line="540" w:lineRule="exact"/>
        <w:ind w:firstLine="640"/>
        <w:rPr>
          <w:rFonts w:ascii="??_GB2312"/>
          <w:sz w:val="32"/>
          <w:szCs w:val="32"/>
        </w:rPr>
      </w:pPr>
    </w:p>
    <w:p>
      <w:pPr>
        <w:spacing w:line="540" w:lineRule="exact"/>
        <w:ind w:firstLine="640"/>
        <w:rPr>
          <w:rFonts w:ascii="??_GB2312"/>
          <w:sz w:val="32"/>
          <w:szCs w:val="32"/>
        </w:rPr>
      </w:pPr>
    </w:p>
    <w:tbl>
      <w:tblPr>
        <w:tblStyle w:val="18"/>
        <w:tblpPr w:leftFromText="180" w:rightFromText="180" w:vertAnchor="text" w:horzAnchor="page" w:tblpX="1757" w:tblpY="123"/>
        <w:tblOverlap w:val="never"/>
        <w:tblW w:w="9201" w:type="dxa"/>
        <w:tblInd w:w="0" w:type="dxa"/>
        <w:tblLayout w:type="fixed"/>
        <w:tblCellMar>
          <w:top w:w="0" w:type="dxa"/>
          <w:left w:w="108" w:type="dxa"/>
          <w:bottom w:w="0" w:type="dxa"/>
          <w:right w:w="108" w:type="dxa"/>
        </w:tblCellMar>
      </w:tblPr>
      <w:tblGrid>
        <w:gridCol w:w="901"/>
        <w:gridCol w:w="1140"/>
        <w:gridCol w:w="1360"/>
        <w:gridCol w:w="1960"/>
        <w:gridCol w:w="2060"/>
        <w:gridCol w:w="1780"/>
      </w:tblGrid>
      <w:tr>
        <w:tblPrEx>
          <w:tblCellMar>
            <w:top w:w="0" w:type="dxa"/>
            <w:left w:w="108" w:type="dxa"/>
            <w:bottom w:w="0" w:type="dxa"/>
            <w:right w:w="108" w:type="dxa"/>
          </w:tblCellMar>
        </w:tblPrEx>
        <w:trPr>
          <w:trHeight w:val="405" w:hRule="atLeast"/>
        </w:trPr>
        <w:tc>
          <w:tcPr>
            <w:tcW w:w="9201" w:type="dxa"/>
            <w:gridSpan w:val="6"/>
            <w:tcBorders>
              <w:top w:val="nil"/>
              <w:left w:val="nil"/>
              <w:bottom w:val="nil"/>
              <w:right w:val="nil"/>
            </w:tcBorders>
            <w:vAlign w:val="center"/>
          </w:tcPr>
          <w:p>
            <w:pPr>
              <w:widowControl/>
              <w:spacing w:line="400" w:lineRule="exact"/>
              <w:ind w:firstLine="1281" w:firstLineChars="400"/>
              <w:jc w:val="both"/>
              <w:rPr>
                <w:rFonts w:hint="eastAsia" w:ascii="宋体" w:hAnsi="宋体" w:cs="宋体"/>
                <w:b/>
                <w:bCs/>
                <w:kern w:val="0"/>
                <w:sz w:val="32"/>
                <w:szCs w:val="32"/>
                <w:u w:val="single"/>
              </w:rPr>
            </w:pPr>
          </w:p>
          <w:p>
            <w:pPr>
              <w:widowControl/>
              <w:spacing w:line="400" w:lineRule="exact"/>
              <w:ind w:firstLine="1921" w:firstLineChars="600"/>
              <w:jc w:val="both"/>
              <w:rPr>
                <w:rFonts w:ascii="宋体" w:hAnsi="宋体" w:cs="宋体"/>
                <w:b/>
                <w:bCs/>
                <w:kern w:val="0"/>
                <w:sz w:val="32"/>
                <w:szCs w:val="32"/>
              </w:rPr>
            </w:pPr>
            <w:r>
              <w:rPr>
                <w:rFonts w:hint="eastAsia" w:ascii="宋体" w:hAnsi="宋体" w:cs="宋体"/>
                <w:b/>
                <w:bCs/>
                <w:kern w:val="0"/>
                <w:sz w:val="32"/>
                <w:szCs w:val="32"/>
                <w:u w:val="none"/>
              </w:rPr>
              <w:t>焉耆县</w:t>
            </w:r>
            <w:r>
              <w:rPr>
                <w:rFonts w:hint="eastAsia" w:ascii="宋体" w:hAnsi="宋体" w:cs="宋体"/>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01" w:type="dxa"/>
            <w:gridSpan w:val="6"/>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（201</w:t>
            </w:r>
            <w:r>
              <w:rPr>
                <w:rFonts w:hint="eastAsia" w:ascii="宋体" w:hAnsi="宋体" w:cs="宋体"/>
                <w:kern w:val="0"/>
                <w:sz w:val="24"/>
                <w:lang w:val="en-US" w:eastAsia="zh-CN"/>
              </w:rPr>
              <w:t>8</w:t>
            </w:r>
            <w:r>
              <w:rPr>
                <w:rFonts w:hint="eastAsia" w:ascii="宋体" w:hAnsi="宋体" w:cs="宋体"/>
                <w:kern w:val="0"/>
                <w:sz w:val="24"/>
              </w:rPr>
              <w:t>年度）</w:t>
            </w:r>
          </w:p>
        </w:tc>
      </w:tr>
      <w:tr>
        <w:tblPrEx>
          <w:tblCellMar>
            <w:top w:w="0" w:type="dxa"/>
            <w:left w:w="108" w:type="dxa"/>
            <w:bottom w:w="0" w:type="dxa"/>
            <w:right w:w="108" w:type="dxa"/>
          </w:tblCellMar>
        </w:tblPrEx>
        <w:trPr>
          <w:trHeight w:val="420" w:hRule="atLeast"/>
        </w:trPr>
        <w:tc>
          <w:tcPr>
            <w:tcW w:w="340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3"/>
            <w:tcBorders>
              <w:top w:val="single" w:color="auto" w:sz="4" w:space="0"/>
              <w:left w:val="nil"/>
              <w:bottom w:val="single" w:color="auto" w:sz="4" w:space="0"/>
              <w:right w:val="single" w:color="auto" w:sz="4" w:space="0"/>
            </w:tcBorders>
            <w:vAlign w:val="center"/>
          </w:tcPr>
          <w:p>
            <w:pPr>
              <w:widowControl/>
              <w:tabs>
                <w:tab w:val="left" w:pos="3576"/>
              </w:tabs>
              <w:ind w:firstLine="1000" w:firstLineChars="500"/>
              <w:jc w:val="left"/>
              <w:rPr>
                <w:rFonts w:ascii="宋体" w:hAnsi="宋体" w:cs="宋体"/>
                <w:kern w:val="0"/>
                <w:sz w:val="20"/>
                <w:szCs w:val="20"/>
              </w:rPr>
            </w:pPr>
            <w:r>
              <w:rPr>
                <w:rFonts w:hint="eastAsia" w:ascii="宋体" w:hAnsi="宋体" w:cs="宋体"/>
                <w:kern w:val="0"/>
                <w:sz w:val="20"/>
                <w:szCs w:val="20"/>
              </w:rPr>
              <w:t>五号渠乡人行道建设项目</w:t>
            </w:r>
          </w:p>
        </w:tc>
      </w:tr>
      <w:tr>
        <w:tblPrEx>
          <w:tblCellMar>
            <w:top w:w="0" w:type="dxa"/>
            <w:left w:w="108" w:type="dxa"/>
            <w:bottom w:w="0" w:type="dxa"/>
            <w:right w:w="108" w:type="dxa"/>
          </w:tblCellMar>
        </w:tblPrEx>
        <w:trPr>
          <w:trHeight w:val="435" w:hRule="atLeast"/>
        </w:trPr>
        <w:tc>
          <w:tcPr>
            <w:tcW w:w="3401"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3"/>
            <w:tcBorders>
              <w:top w:val="single" w:color="auto" w:sz="4" w:space="0"/>
              <w:left w:val="nil"/>
              <w:bottom w:val="single" w:color="auto" w:sz="4" w:space="0"/>
              <w:right w:val="single" w:color="000000" w:sz="4" w:space="0"/>
            </w:tcBorders>
            <w:vAlign w:val="center"/>
          </w:tcPr>
          <w:p>
            <w:pPr>
              <w:widowControl/>
              <w:ind w:firstLine="1000" w:firstLineChars="500"/>
              <w:jc w:val="both"/>
              <w:rPr>
                <w:rFonts w:ascii="宋体" w:hAnsi="宋体" w:cs="宋体"/>
                <w:kern w:val="0"/>
                <w:sz w:val="20"/>
                <w:szCs w:val="20"/>
              </w:rPr>
            </w:pPr>
            <w:r>
              <w:rPr>
                <w:rFonts w:hint="eastAsia" w:ascii="宋体" w:hAnsi="宋体" w:cs="宋体"/>
                <w:kern w:val="0"/>
                <w:sz w:val="20"/>
                <w:szCs w:val="20"/>
              </w:rPr>
              <w:t>焉耆县五号渠乡人民政府</w:t>
            </w:r>
          </w:p>
        </w:tc>
      </w:tr>
      <w:tr>
        <w:tblPrEx>
          <w:tblCellMar>
            <w:top w:w="0" w:type="dxa"/>
            <w:left w:w="108" w:type="dxa"/>
            <w:bottom w:w="0" w:type="dxa"/>
            <w:right w:w="108" w:type="dxa"/>
          </w:tblCellMar>
        </w:tblPrEx>
        <w:trPr>
          <w:trHeight w:val="465" w:hRule="atLeast"/>
        </w:trPr>
        <w:tc>
          <w:tcPr>
            <w:tcW w:w="90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18"/>
                <w:szCs w:val="18"/>
              </w:rPr>
              <w:t>预算</w:t>
            </w:r>
            <w:r>
              <w:rPr>
                <w:rFonts w:hint="eastAsia" w:ascii="宋体" w:hAnsi="宋体" w:cs="宋体"/>
                <w:kern w:val="0"/>
                <w:sz w:val="18"/>
                <w:szCs w:val="18"/>
              </w:rPr>
              <w:br w:type="textWrapping"/>
            </w:r>
            <w:r>
              <w:rPr>
                <w:rFonts w:hint="eastAsia" w:ascii="宋体" w:hAnsi="宋体" w:cs="宋体"/>
                <w:kern w:val="0"/>
                <w:sz w:val="18"/>
                <w:szCs w:val="18"/>
              </w:rPr>
              <w:t>执行</w:t>
            </w:r>
            <w:r>
              <w:rPr>
                <w:rFonts w:hint="eastAsia" w:ascii="宋体" w:hAnsi="宋体" w:cs="宋体"/>
                <w:kern w:val="0"/>
                <w:sz w:val="18"/>
                <w:szCs w:val="18"/>
              </w:rPr>
              <w:br w:type="textWrapping"/>
            </w:r>
            <w:r>
              <w:rPr>
                <w:rFonts w:hint="eastAsia" w:ascii="宋体" w:hAnsi="宋体" w:cs="宋体"/>
                <w:kern w:val="0"/>
                <w:sz w:val="18"/>
                <w:szCs w:val="18"/>
              </w:rPr>
              <w:t>情况</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ind w:firstLine="1000" w:firstLineChars="500"/>
              <w:jc w:val="left"/>
              <w:rPr>
                <w:rFonts w:hint="eastAsia" w:ascii="宋体" w:hAnsi="宋体" w:cs="宋体"/>
                <w:kern w:val="0"/>
                <w:sz w:val="20"/>
                <w:szCs w:val="20"/>
              </w:rPr>
            </w:pPr>
            <w:r>
              <w:rPr>
                <w:rFonts w:hint="eastAsia" w:ascii="宋体" w:hAnsi="宋体" w:cs="宋体"/>
                <w:kern w:val="0"/>
                <w:sz w:val="20"/>
                <w:szCs w:val="20"/>
              </w:rPr>
              <w:t xml:space="preserve"> 预算数：</w:t>
            </w:r>
          </w:p>
        </w:tc>
        <w:tc>
          <w:tcPr>
            <w:tcW w:w="1960" w:type="dxa"/>
            <w:tcBorders>
              <w:top w:val="single" w:color="auto" w:sz="4" w:space="0"/>
              <w:left w:val="nil"/>
              <w:bottom w:val="single" w:color="auto" w:sz="4" w:space="0"/>
              <w:right w:val="single" w:color="000000" w:sz="4" w:space="0"/>
            </w:tcBorders>
            <w:vAlign w:val="center"/>
          </w:tcPr>
          <w:p>
            <w:pPr>
              <w:widowControl/>
              <w:ind w:firstLine="1000" w:firstLineChars="500"/>
              <w:jc w:val="left"/>
              <w:rPr>
                <w:rFonts w:hint="default" w:ascii="宋体" w:hAnsi="宋体" w:cs="宋体"/>
                <w:kern w:val="0"/>
                <w:sz w:val="20"/>
                <w:szCs w:val="20"/>
                <w:lang w:val="en-US" w:eastAsia="zh-CN"/>
              </w:rPr>
            </w:pPr>
            <w:r>
              <w:rPr>
                <w:rFonts w:hint="eastAsia" w:ascii="宋体" w:hAnsi="宋体" w:cs="宋体"/>
                <w:kern w:val="0"/>
                <w:sz w:val="20"/>
                <w:szCs w:val="20"/>
                <w:lang w:val="en-US" w:eastAsia="zh-CN"/>
              </w:rPr>
              <w:t>4.5万元</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left"/>
              <w:rPr>
                <w:rFonts w:hint="default" w:ascii="宋体" w:hAnsi="宋体" w:cs="宋体"/>
                <w:kern w:val="0"/>
                <w:sz w:val="20"/>
                <w:szCs w:val="20"/>
                <w:lang w:val="en-US" w:eastAsia="zh-CN"/>
              </w:rPr>
            </w:pPr>
            <w:r>
              <w:rPr>
                <w:rFonts w:hint="eastAsia" w:ascii="宋体" w:hAnsi="宋体" w:cs="宋体"/>
                <w:kern w:val="0"/>
                <w:sz w:val="20"/>
                <w:szCs w:val="20"/>
                <w:lang w:val="en-US" w:eastAsia="zh-CN"/>
              </w:rPr>
              <w:t>4.5万元</w:t>
            </w:r>
          </w:p>
        </w:tc>
      </w:tr>
      <w:tr>
        <w:tblPrEx>
          <w:tblCellMar>
            <w:top w:w="0" w:type="dxa"/>
            <w:left w:w="108" w:type="dxa"/>
            <w:bottom w:w="0" w:type="dxa"/>
            <w:right w:w="108" w:type="dxa"/>
          </w:tblCellMar>
        </w:tblPrEx>
        <w:trPr>
          <w:trHeight w:val="509" w:hRule="atLeast"/>
        </w:trPr>
        <w:tc>
          <w:tcPr>
            <w:tcW w:w="9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hint="default" w:ascii="宋体" w:hAnsi="宋体" w:cs="宋体"/>
                <w:kern w:val="0"/>
                <w:sz w:val="20"/>
                <w:szCs w:val="20"/>
                <w:lang w:val="en-US" w:eastAsia="zh-CN"/>
              </w:rPr>
            </w:pPr>
            <w:r>
              <w:rPr>
                <w:rFonts w:hint="eastAsia" w:ascii="宋体" w:hAnsi="宋体" w:cs="宋体"/>
                <w:kern w:val="0"/>
                <w:sz w:val="20"/>
                <w:szCs w:val="20"/>
              </w:rPr>
              <w:t>其中：财政拨款</w:t>
            </w:r>
          </w:p>
        </w:tc>
        <w:tc>
          <w:tcPr>
            <w:tcW w:w="1960" w:type="dxa"/>
            <w:tcBorders>
              <w:top w:val="single" w:color="auto" w:sz="4" w:space="0"/>
              <w:left w:val="nil"/>
              <w:bottom w:val="single" w:color="auto" w:sz="4" w:space="0"/>
              <w:right w:val="single" w:color="000000" w:sz="4" w:space="0"/>
            </w:tcBorders>
            <w:vAlign w:val="center"/>
          </w:tcPr>
          <w:p>
            <w:pPr>
              <w:widowControl/>
              <w:ind w:firstLine="1000" w:firstLineChars="500"/>
              <w:jc w:val="left"/>
              <w:rPr>
                <w:rFonts w:hint="default" w:ascii="宋体" w:hAnsi="宋体" w:cs="宋体"/>
                <w:kern w:val="0"/>
                <w:sz w:val="20"/>
                <w:szCs w:val="20"/>
                <w:lang w:val="en-US" w:eastAsia="zh-CN"/>
              </w:rPr>
            </w:pPr>
            <w:r>
              <w:rPr>
                <w:rFonts w:hint="eastAsia" w:ascii="宋体" w:hAnsi="宋体" w:cs="宋体"/>
                <w:kern w:val="0"/>
                <w:sz w:val="20"/>
                <w:szCs w:val="20"/>
                <w:lang w:val="en-US" w:eastAsia="zh-CN"/>
              </w:rPr>
              <w:t>4.5万元</w:t>
            </w:r>
          </w:p>
        </w:tc>
        <w:tc>
          <w:tcPr>
            <w:tcW w:w="2060" w:type="dxa"/>
            <w:tcBorders>
              <w:top w:val="nil"/>
              <w:left w:val="nil"/>
              <w:bottom w:val="nil"/>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left"/>
              <w:rPr>
                <w:rFonts w:hint="default" w:ascii="宋体" w:hAnsi="宋体" w:cs="宋体"/>
                <w:kern w:val="0"/>
                <w:sz w:val="20"/>
                <w:szCs w:val="20"/>
                <w:lang w:val="en-US" w:eastAsia="zh-CN"/>
              </w:rPr>
            </w:pPr>
            <w:r>
              <w:rPr>
                <w:rFonts w:hint="eastAsia" w:ascii="宋体" w:hAnsi="宋体" w:cs="宋体"/>
                <w:kern w:val="0"/>
                <w:sz w:val="20"/>
                <w:szCs w:val="20"/>
                <w:lang w:val="en-US" w:eastAsia="zh-CN"/>
              </w:rPr>
              <w:t>4.5万元</w:t>
            </w:r>
          </w:p>
        </w:tc>
      </w:tr>
      <w:tr>
        <w:tblPrEx>
          <w:tblCellMar>
            <w:top w:w="0" w:type="dxa"/>
            <w:left w:w="108" w:type="dxa"/>
            <w:bottom w:w="0" w:type="dxa"/>
            <w:right w:w="108" w:type="dxa"/>
          </w:tblCellMar>
        </w:tblPrEx>
        <w:trPr>
          <w:trHeight w:val="446" w:hRule="atLeast"/>
        </w:trPr>
        <w:tc>
          <w:tcPr>
            <w:tcW w:w="9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90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638" w:hRule="atLeast"/>
        </w:trPr>
        <w:tc>
          <w:tcPr>
            <w:tcW w:w="9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3"/>
            <w:tcBorders>
              <w:top w:val="single" w:color="auto" w:sz="4" w:space="0"/>
              <w:left w:val="nil"/>
              <w:bottom w:val="single" w:color="auto" w:sz="4" w:space="0"/>
              <w:right w:val="single" w:color="000000" w:sz="4" w:space="0"/>
            </w:tcBorders>
            <w:vAlign w:val="center"/>
          </w:tcPr>
          <w:p>
            <w:pPr>
              <w:widowControl/>
              <w:snapToGrid w:val="0"/>
              <w:contextualSpacing/>
              <w:jc w:val="left"/>
              <w:rPr>
                <w:rFonts w:ascii="宋体" w:hAnsi="宋体" w:cs="宋体"/>
                <w:kern w:val="0"/>
                <w:sz w:val="20"/>
                <w:szCs w:val="20"/>
              </w:rPr>
            </w:pPr>
            <w:r>
              <w:rPr>
                <w:rFonts w:hint="eastAsia" w:ascii="宋体" w:hAnsi="宋体" w:cs="宋体"/>
                <w:kern w:val="0"/>
                <w:sz w:val="20"/>
                <w:szCs w:val="20"/>
              </w:rPr>
              <w:t>人行道是基础设施建设的重要载体，由于美丽乡村建设人行道建设目事关整体形象和群众的出行安全。我乡在美丽乡村建设和管理中，始终坚持以人为本的理念，深入推进人行道的改造和建设，项目预算金额4.5万元，根据成本核算共建设375米的人行道。</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人行道是基础设施建设的重要载体，由于美丽乡村建设人行道建设目事关整体形象和群众的出行安全。我乡在美丽乡村建设和管理中，始终坚持以人为本的理念，深入推进人行道的改造和建设，项目预算金额4.5万元，根据成本核算共建设375米的人行道。</w:t>
            </w:r>
          </w:p>
        </w:tc>
      </w:tr>
      <w:tr>
        <w:tblPrEx>
          <w:tblCellMar>
            <w:top w:w="0" w:type="dxa"/>
            <w:left w:w="108" w:type="dxa"/>
            <w:bottom w:w="0" w:type="dxa"/>
            <w:right w:w="108" w:type="dxa"/>
          </w:tblCellMar>
        </w:tblPrEx>
        <w:trPr>
          <w:trHeight w:val="505" w:hRule="atLeast"/>
        </w:trPr>
        <w:tc>
          <w:tcPr>
            <w:tcW w:w="90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w:t>
            </w: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人行道米数</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东文宋体" w:hAnsi="东文宋体" w:eastAsia="东文宋体" w:cs="东文宋体"/>
                <w:kern w:val="0"/>
                <w:sz w:val="20"/>
                <w:szCs w:val="20"/>
                <w:lang w:val="en-US" w:eastAsia="zh-CN"/>
              </w:rPr>
              <w:t>≥</w:t>
            </w:r>
            <w:r>
              <w:rPr>
                <w:rFonts w:hint="eastAsia" w:ascii="宋体" w:hAnsi="宋体" w:cs="宋体"/>
                <w:kern w:val="0"/>
                <w:sz w:val="20"/>
                <w:szCs w:val="20"/>
                <w:lang w:val="en-US" w:eastAsia="zh-CN"/>
              </w:rPr>
              <w:t>375米</w:t>
            </w: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375米</w:t>
            </w: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 xml:space="preserve"> 验收合格率</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东文宋体" w:hAnsi="东文宋体" w:eastAsia="东文宋体" w:cs="东文宋体"/>
                <w:kern w:val="0"/>
                <w:sz w:val="20"/>
                <w:szCs w:val="20"/>
                <w:lang w:val="en-US" w:eastAsia="zh-CN"/>
              </w:rPr>
              <w:t>≥95</w:t>
            </w:r>
            <w:r>
              <w:rPr>
                <w:rFonts w:hint="eastAsia" w:ascii="宋体" w:hAnsi="宋体" w:eastAsia="宋体" w:cs="宋体"/>
                <w:kern w:val="0"/>
                <w:sz w:val="20"/>
                <w:szCs w:val="20"/>
                <w:lang w:val="en-US" w:eastAsia="zh-CN"/>
              </w:rPr>
              <w:t>%</w:t>
            </w: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95</w:t>
            </w:r>
            <w:r>
              <w:rPr>
                <w:rFonts w:hint="eastAsia" w:ascii="宋体" w:hAnsi="宋体" w:eastAsia="宋体" w:cs="宋体"/>
                <w:kern w:val="0"/>
                <w:sz w:val="20"/>
                <w:szCs w:val="20"/>
                <w:lang w:val="en-US" w:eastAsia="zh-CN"/>
              </w:rPr>
              <w:t>%</w:t>
            </w: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资金支付率</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cs="宋体"/>
                <w:kern w:val="0"/>
                <w:sz w:val="20"/>
                <w:szCs w:val="20"/>
                <w:lang w:val="en-US"/>
              </w:rPr>
            </w:pPr>
            <w:r>
              <w:rPr>
                <w:rFonts w:hint="eastAsia" w:ascii="东文宋体" w:hAnsi="东文宋体" w:eastAsia="东文宋体" w:cs="东文宋体"/>
                <w:kern w:val="0"/>
                <w:sz w:val="20"/>
                <w:szCs w:val="20"/>
                <w:lang w:val="en-US" w:eastAsia="zh-CN"/>
              </w:rPr>
              <w:t>≤</w:t>
            </w: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100%</w:t>
            </w:r>
          </w:p>
        </w:tc>
      </w:tr>
      <w:tr>
        <w:tblPrEx>
          <w:tblCellMar>
            <w:top w:w="0" w:type="dxa"/>
            <w:left w:w="108" w:type="dxa"/>
            <w:bottom w:w="0" w:type="dxa"/>
            <w:right w:w="108" w:type="dxa"/>
          </w:tblCellMar>
        </w:tblPrEx>
        <w:trPr>
          <w:trHeight w:val="666"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tcBorders>
              <w:top w:val="single" w:color="auto" w:sz="4" w:space="0"/>
              <w:left w:val="nil"/>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资金投入</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东文宋体" w:hAnsi="东文宋体" w:eastAsia="东文宋体" w:cs="东文宋体"/>
                <w:kern w:val="0"/>
                <w:sz w:val="20"/>
                <w:szCs w:val="20"/>
                <w:lang w:val="en-US" w:eastAsia="zh-CN"/>
              </w:rPr>
              <w:t>≤</w:t>
            </w:r>
            <w:r>
              <w:rPr>
                <w:rFonts w:hint="eastAsia" w:ascii="宋体" w:hAnsi="宋体" w:cs="宋体"/>
                <w:kern w:val="0"/>
                <w:sz w:val="20"/>
                <w:szCs w:val="20"/>
                <w:lang w:val="en-US" w:eastAsia="zh-CN"/>
              </w:rPr>
              <w:t>4.5万元</w:t>
            </w: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4.5万元</w:t>
            </w: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default" w:ascii="宋体" w:hAnsi="宋体" w:eastAsia="宋体" w:cs="宋体"/>
                <w:kern w:val="0"/>
                <w:sz w:val="15"/>
                <w:szCs w:val="15"/>
                <w:lang w:val="en-US" w:eastAsia="zh-CN"/>
              </w:rPr>
            </w:pPr>
          </w:p>
        </w:tc>
        <w:tc>
          <w:tcPr>
            <w:tcW w:w="2060" w:type="dxa"/>
            <w:tcBorders>
              <w:top w:val="single" w:color="auto" w:sz="4" w:space="0"/>
              <w:left w:val="nil"/>
              <w:bottom w:val="single" w:color="auto" w:sz="4" w:space="0"/>
              <w:right w:val="single" w:color="auto" w:sz="4" w:space="0"/>
            </w:tcBorders>
            <w:vAlign w:val="center"/>
          </w:tcPr>
          <w:p>
            <w:pPr>
              <w:widowControl/>
              <w:snapToGrid w:val="0"/>
              <w:ind w:firstLine="401" w:firstLineChars="0"/>
              <w:contextualSpacing/>
              <w:jc w:val="center"/>
              <w:rPr>
                <w:rFonts w:hint="default" w:ascii="宋体" w:hAnsi="宋体" w:eastAsia="宋体" w:cs="宋体"/>
                <w:kern w:val="0"/>
                <w:sz w:val="20"/>
                <w:szCs w:val="20"/>
                <w:lang w:val="en-US" w:eastAsia="zh-CN"/>
              </w:rPr>
            </w:pP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15"/>
                <w:szCs w:val="15"/>
                <w:lang w:eastAsia="zh-CN"/>
              </w:rPr>
            </w:pPr>
            <w:r>
              <w:rPr>
                <w:rFonts w:hint="eastAsia" w:ascii="宋体" w:hAnsi="宋体" w:cs="宋体"/>
                <w:kern w:val="0"/>
                <w:sz w:val="15"/>
                <w:szCs w:val="15"/>
              </w:rPr>
              <w:t xml:space="preserve"> </w:t>
            </w:r>
            <w:r>
              <w:rPr>
                <w:rFonts w:hint="eastAsia" w:ascii="宋体" w:hAnsi="宋体" w:cs="宋体"/>
                <w:kern w:val="0"/>
                <w:sz w:val="20"/>
                <w:szCs w:val="20"/>
                <w:lang w:eastAsia="zh-CN"/>
              </w:rPr>
              <w:t>人行道铺设完善了乡政府周边的整体建设</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改善人居环境</w:t>
            </w:r>
          </w:p>
        </w:tc>
        <w:tc>
          <w:tcPr>
            <w:tcW w:w="1780" w:type="dxa"/>
            <w:tcBorders>
              <w:top w:val="nil"/>
              <w:left w:val="nil"/>
              <w:bottom w:val="single" w:color="auto" w:sz="4" w:space="0"/>
              <w:right w:val="single" w:color="auto" w:sz="4" w:space="0"/>
            </w:tcBorders>
            <w:vAlign w:val="center"/>
          </w:tcPr>
          <w:p>
            <w:pPr>
              <w:widowControl/>
              <w:snapToGrid w:val="0"/>
              <w:ind w:firstLine="456" w:firstLineChars="0"/>
              <w:contextualSpacing/>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人居环境得到改善</w:t>
            </w: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ascii="宋体" w:hAnsi="宋体" w:cs="宋体"/>
                <w:kern w:val="0"/>
                <w:sz w:val="20"/>
                <w:szCs w:val="20"/>
              </w:rPr>
            </w:pP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群众利用期限</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cs="宋体"/>
                <w:kern w:val="0"/>
                <w:sz w:val="20"/>
                <w:szCs w:val="20"/>
                <w:lang w:val="en-US" w:eastAsia="zh-CN"/>
              </w:rPr>
            </w:pPr>
            <w:r>
              <w:rPr>
                <w:rFonts w:hint="eastAsia" w:ascii="东文宋体" w:hAnsi="东文宋体" w:eastAsia="东文宋体" w:cs="东文宋体"/>
                <w:kern w:val="0"/>
                <w:sz w:val="20"/>
                <w:szCs w:val="20"/>
                <w:lang w:val="en-US" w:eastAsia="zh-CN"/>
              </w:rPr>
              <w:t>≥</w:t>
            </w:r>
            <w:r>
              <w:rPr>
                <w:rFonts w:hint="eastAsia" w:ascii="宋体" w:hAnsi="宋体" w:cs="宋体"/>
                <w:kern w:val="0"/>
                <w:sz w:val="20"/>
                <w:szCs w:val="20"/>
                <w:lang w:val="en-US" w:eastAsia="zh-CN"/>
              </w:rPr>
              <w:t>1年</w:t>
            </w: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1年</w:t>
            </w:r>
          </w:p>
        </w:tc>
      </w:tr>
      <w:tr>
        <w:tblPrEx>
          <w:tblCellMar>
            <w:top w:w="0" w:type="dxa"/>
            <w:left w:w="108" w:type="dxa"/>
            <w:bottom w:w="0" w:type="dxa"/>
            <w:right w:w="108" w:type="dxa"/>
          </w:tblCellMar>
        </w:tblPrEx>
        <w:trPr>
          <w:trHeight w:val="480" w:hRule="atLeast"/>
        </w:trPr>
        <w:tc>
          <w:tcPr>
            <w:tcW w:w="9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满意度指标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满意度指标</w:t>
            </w:r>
          </w:p>
        </w:tc>
        <w:tc>
          <w:tcPr>
            <w:tcW w:w="1960" w:type="dxa"/>
            <w:tcBorders>
              <w:top w:val="single" w:color="auto" w:sz="4" w:space="0"/>
              <w:left w:val="nil"/>
              <w:bottom w:val="single" w:color="auto" w:sz="4" w:space="0"/>
              <w:right w:val="single" w:color="auto" w:sz="4" w:space="0"/>
            </w:tcBorders>
            <w:vAlign w:val="center"/>
          </w:tcPr>
          <w:p>
            <w:pPr>
              <w:widowControl/>
              <w:jc w:val="left"/>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群众满意度</w:t>
            </w:r>
          </w:p>
        </w:tc>
        <w:tc>
          <w:tcPr>
            <w:tcW w:w="206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东文宋体" w:hAnsi="东文宋体" w:eastAsia="东文宋体" w:cs="东文宋体"/>
                <w:kern w:val="0"/>
                <w:sz w:val="20"/>
                <w:szCs w:val="20"/>
                <w:lang w:val="en-US" w:eastAsia="zh-CN"/>
              </w:rPr>
              <w:t>≥</w:t>
            </w:r>
            <w:r>
              <w:rPr>
                <w:rFonts w:hint="eastAsia" w:ascii="宋体" w:hAnsi="宋体" w:cs="宋体"/>
                <w:kern w:val="0"/>
                <w:sz w:val="20"/>
                <w:szCs w:val="20"/>
                <w:lang w:val="en-US" w:eastAsia="zh-CN"/>
              </w:rPr>
              <w:t>90%</w:t>
            </w:r>
          </w:p>
        </w:tc>
        <w:tc>
          <w:tcPr>
            <w:tcW w:w="1780" w:type="dxa"/>
            <w:tcBorders>
              <w:top w:val="nil"/>
              <w:left w:val="nil"/>
              <w:bottom w:val="single" w:color="auto" w:sz="4" w:space="0"/>
              <w:right w:val="single" w:color="auto" w:sz="4" w:space="0"/>
            </w:tcBorders>
            <w:vAlign w:val="center"/>
          </w:tcPr>
          <w:p>
            <w:pPr>
              <w:widowControl/>
              <w:snapToGrid w:val="0"/>
              <w:contextualSpacing/>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95</w:t>
            </w:r>
            <w:bookmarkStart w:id="0" w:name="_GoBack"/>
            <w:bookmarkEnd w:id="0"/>
            <w:r>
              <w:rPr>
                <w:rFonts w:hint="eastAsia" w:ascii="宋体" w:hAnsi="宋体" w:cs="宋体"/>
                <w:kern w:val="0"/>
                <w:sz w:val="20"/>
                <w:szCs w:val="20"/>
                <w:lang w:val="en-US" w:eastAsia="zh-CN"/>
              </w:rPr>
              <w:t>%</w:t>
            </w:r>
          </w:p>
        </w:tc>
      </w:tr>
    </w:tbl>
    <w:p>
      <w:pPr>
        <w:spacing w:line="540" w:lineRule="exact"/>
        <w:rPr>
          <w:rFonts w:ascii="??_GB2312"/>
          <w:sz w:val="32"/>
          <w:szCs w:val="32"/>
        </w:rPr>
      </w:pPr>
    </w:p>
    <w:p>
      <w:pPr>
        <w:spacing w:line="540" w:lineRule="exact"/>
        <w:rPr>
          <w:rStyle w:val="20"/>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文泉驿微米黑"/>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华文中宋">
    <w:altName w:val="文泉驿微米黑"/>
    <w:panose1 w:val="02010600040101010101"/>
    <w:charset w:val="86"/>
    <w:family w:val="auto"/>
    <w:pitch w:val="default"/>
    <w:sig w:usb0="00000000" w:usb1="00000000" w:usb2="00000000" w:usb3="00000000" w:csb0="0004009F" w:csb1="DFD70000"/>
  </w:font>
  <w:font w:name="方正小标宋_GBK">
    <w:altName w:val="文泉驿微米黑"/>
    <w:panose1 w:val="00000000000000000000"/>
    <w:charset w:val="86"/>
    <w:family w:val="script"/>
    <w:pitch w:val="default"/>
    <w:sig w:usb0="00000000" w:usb1="00000000" w:usb2="00000010" w:usb3="00000000" w:csb0="00040000" w:csb1="00000000"/>
  </w:font>
  <w:font w:name="楷体">
    <w:altName w:val="文泉驿微米黑"/>
    <w:panose1 w:val="02010609060101010101"/>
    <w:charset w:val="86"/>
    <w:family w:val="modern"/>
    <w:pitch w:val="default"/>
    <w:sig w:usb0="00000000" w:usb1="00000000" w:usb2="00000016" w:usb3="00000000" w:csb0="00040001" w:csb1="00000000"/>
  </w:font>
  <w:font w:name="仿宋_GB2312">
    <w:altName w:val="文泉驿微米黑"/>
    <w:panose1 w:val="02010609030101010101"/>
    <w:charset w:val="86"/>
    <w:family w:val="modern"/>
    <w:pitch w:val="default"/>
    <w:sig w:usb0="00000000" w:usb1="00000000" w:usb2="00000000" w:usb3="00000000" w:csb0="00040000" w:csb1="00000000"/>
  </w:font>
  <w:font w:name="仿宋">
    <w:altName w:val="文泉驿微米黑"/>
    <w:panose1 w:val="02010609060101010101"/>
    <w:charset w:val="86"/>
    <w:family w:val="modern"/>
    <w:pitch w:val="default"/>
    <w:sig w:usb0="00000000" w:usb1="00000000" w:usb2="00000016" w:usb3="00000000" w:csb0="00040001" w:csb1="00000000"/>
  </w:font>
  <w:font w:name="??_GB2312">
    <w:altName w:val="DejaVu Math TeX Gyre"/>
    <w:panose1 w:val="00000000000000000000"/>
    <w:charset w:val="00"/>
    <w:family w:val="auto"/>
    <w:pitch w:val="default"/>
    <w:sig w:usb0="00000000" w:usb1="00000000" w:usb2="00000000" w:usb3="00000000" w:csb0="00000001" w:csb1="00000000"/>
  </w:font>
  <w:font w:name="东文宋体">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5</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DBC04"/>
    <w:multiLevelType w:val="singleLevel"/>
    <w:tmpl w:val="C1DDBC04"/>
    <w:lvl w:ilvl="0" w:tentative="0">
      <w:start w:val="2"/>
      <w:numFmt w:val="chineseCounting"/>
      <w:suff w:val="nothing"/>
      <w:lvlText w:val="（%1）"/>
      <w:lvlJc w:val="left"/>
      <w:rPr>
        <w:rFonts w:hint="eastAsia" w:cs="Times New Roman"/>
      </w:rPr>
    </w:lvl>
  </w:abstractNum>
  <w:abstractNum w:abstractNumId="1">
    <w:nsid w:val="4F81DAA1"/>
    <w:multiLevelType w:val="singleLevel"/>
    <w:tmpl w:val="4F81DAA1"/>
    <w:lvl w:ilvl="0" w:tentative="0">
      <w:start w:val="3"/>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F0790"/>
    <w:rsid w:val="00121AE4"/>
    <w:rsid w:val="00146AAD"/>
    <w:rsid w:val="00185E75"/>
    <w:rsid w:val="00195329"/>
    <w:rsid w:val="001B340F"/>
    <w:rsid w:val="001B3A40"/>
    <w:rsid w:val="002574E5"/>
    <w:rsid w:val="003908B7"/>
    <w:rsid w:val="004366A8"/>
    <w:rsid w:val="00450003"/>
    <w:rsid w:val="00482E9C"/>
    <w:rsid w:val="00502BA7"/>
    <w:rsid w:val="005162F1"/>
    <w:rsid w:val="00535153"/>
    <w:rsid w:val="00554F82"/>
    <w:rsid w:val="0056390D"/>
    <w:rsid w:val="005719B0"/>
    <w:rsid w:val="005D10D6"/>
    <w:rsid w:val="005E415C"/>
    <w:rsid w:val="00650571"/>
    <w:rsid w:val="006B1813"/>
    <w:rsid w:val="006D521B"/>
    <w:rsid w:val="006E6BB4"/>
    <w:rsid w:val="00713185"/>
    <w:rsid w:val="007607B2"/>
    <w:rsid w:val="007E6908"/>
    <w:rsid w:val="00854014"/>
    <w:rsid w:val="00855E3A"/>
    <w:rsid w:val="00863D7C"/>
    <w:rsid w:val="00887236"/>
    <w:rsid w:val="00904ACD"/>
    <w:rsid w:val="00922CB9"/>
    <w:rsid w:val="00932DDE"/>
    <w:rsid w:val="0095230D"/>
    <w:rsid w:val="00994DB1"/>
    <w:rsid w:val="009E5CD9"/>
    <w:rsid w:val="00A00469"/>
    <w:rsid w:val="00A26421"/>
    <w:rsid w:val="00A4293B"/>
    <w:rsid w:val="00A5277F"/>
    <w:rsid w:val="00A63D3C"/>
    <w:rsid w:val="00A67D50"/>
    <w:rsid w:val="00A8691A"/>
    <w:rsid w:val="00AC1946"/>
    <w:rsid w:val="00AF13AD"/>
    <w:rsid w:val="00AF4FC9"/>
    <w:rsid w:val="00B40063"/>
    <w:rsid w:val="00B41F61"/>
    <w:rsid w:val="00B72C49"/>
    <w:rsid w:val="00BA46E6"/>
    <w:rsid w:val="00BB3554"/>
    <w:rsid w:val="00BE6A8E"/>
    <w:rsid w:val="00BF1A83"/>
    <w:rsid w:val="00BF5A4B"/>
    <w:rsid w:val="00BF7650"/>
    <w:rsid w:val="00C56C72"/>
    <w:rsid w:val="00CA6457"/>
    <w:rsid w:val="00CB6CAE"/>
    <w:rsid w:val="00CB737A"/>
    <w:rsid w:val="00D17F2E"/>
    <w:rsid w:val="00D30354"/>
    <w:rsid w:val="00D85970"/>
    <w:rsid w:val="00D90D9B"/>
    <w:rsid w:val="00DA2CEB"/>
    <w:rsid w:val="00DA7291"/>
    <w:rsid w:val="00DE132E"/>
    <w:rsid w:val="00DF42A0"/>
    <w:rsid w:val="00DF4965"/>
    <w:rsid w:val="00E769FE"/>
    <w:rsid w:val="00E94A9E"/>
    <w:rsid w:val="00EA2CBE"/>
    <w:rsid w:val="00EA7822"/>
    <w:rsid w:val="00EB6534"/>
    <w:rsid w:val="00EE358A"/>
    <w:rsid w:val="00EF5DDE"/>
    <w:rsid w:val="00EF7980"/>
    <w:rsid w:val="00F32FEE"/>
    <w:rsid w:val="00F52EDC"/>
    <w:rsid w:val="00F54FB3"/>
    <w:rsid w:val="00FA78FD"/>
    <w:rsid w:val="00FB10BB"/>
    <w:rsid w:val="0C756A8A"/>
    <w:rsid w:val="150F7A29"/>
    <w:rsid w:val="1C6852EA"/>
    <w:rsid w:val="20B6297D"/>
    <w:rsid w:val="21F90E5B"/>
    <w:rsid w:val="2BA150BF"/>
    <w:rsid w:val="3FF7AA53"/>
    <w:rsid w:val="41890623"/>
    <w:rsid w:val="436C358B"/>
    <w:rsid w:val="44831927"/>
    <w:rsid w:val="47F72260"/>
    <w:rsid w:val="4FEFF1CF"/>
    <w:rsid w:val="59780FFE"/>
    <w:rsid w:val="5EA84060"/>
    <w:rsid w:val="603870F8"/>
    <w:rsid w:val="6CFA2FBA"/>
    <w:rsid w:val="6E9E0F81"/>
    <w:rsid w:val="74C02B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ocked="1"/>
    <w:lsdException w:uiPriority="99" w:name="E-mail Signature" w:locked="1"/>
    <w:lsdException w:qFormat="1"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qFormat/>
    <w:uiPriority w:val="99"/>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Plain Text"/>
    <w:basedOn w:val="1"/>
    <w:link w:val="48"/>
    <w:qFormat/>
    <w:locked/>
    <w:uiPriority w:val="99"/>
    <w:rPr>
      <w:rFonts w:ascii="宋体" w:hAnsi="Courier New" w:cs="Courier New"/>
      <w:szCs w:val="21"/>
    </w:rPr>
  </w:style>
  <w:style w:type="paragraph" w:styleId="12">
    <w:name w:val="Balloon Text"/>
    <w:basedOn w:val="1"/>
    <w:link w:val="31"/>
    <w:semiHidden/>
    <w:qFormat/>
    <w:uiPriority w:val="99"/>
    <w:rPr>
      <w:sz w:val="18"/>
      <w:szCs w:val="18"/>
    </w:rPr>
  </w:style>
  <w:style w:type="paragraph" w:styleId="13">
    <w:name w:val="footer"/>
    <w:basedOn w:val="1"/>
    <w:link w:val="32"/>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99"/>
    <w:pPr>
      <w:widowControl/>
      <w:spacing w:after="60"/>
      <w:jc w:val="center"/>
      <w:outlineLvl w:val="1"/>
    </w:pPr>
    <w:rPr>
      <w:rFonts w:ascii="Cambria" w:hAnsi="Cambria"/>
      <w:kern w:val="0"/>
      <w:sz w:val="24"/>
    </w:rPr>
  </w:style>
  <w:style w:type="paragraph" w:styleId="16">
    <w:name w:val="Normal (Web)"/>
    <w:basedOn w:val="1"/>
    <w:qFormat/>
    <w:locked/>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5"/>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Heading 1 Char"/>
    <w:basedOn w:val="19"/>
    <w:link w:val="2"/>
    <w:qFormat/>
    <w:locked/>
    <w:uiPriority w:val="99"/>
    <w:rPr>
      <w:rFonts w:ascii="Cambria" w:hAnsi="Cambria" w:eastAsia="宋体" w:cs="Times New Roman"/>
      <w:b/>
      <w:bCs/>
      <w:kern w:val="32"/>
      <w:sz w:val="32"/>
      <w:szCs w:val="32"/>
    </w:rPr>
  </w:style>
  <w:style w:type="character" w:customStyle="1" w:styleId="23">
    <w:name w:val="Heading 2 Char"/>
    <w:basedOn w:val="19"/>
    <w:link w:val="3"/>
    <w:semiHidden/>
    <w:qFormat/>
    <w:locked/>
    <w:uiPriority w:val="99"/>
    <w:rPr>
      <w:rFonts w:ascii="Cambria" w:hAnsi="Cambria" w:eastAsia="宋体" w:cs="Times New Roman"/>
      <w:b/>
      <w:bCs/>
      <w:i/>
      <w:iCs/>
      <w:sz w:val="28"/>
      <w:szCs w:val="28"/>
    </w:rPr>
  </w:style>
  <w:style w:type="character" w:customStyle="1" w:styleId="24">
    <w:name w:val="Heading 3 Char"/>
    <w:basedOn w:val="19"/>
    <w:link w:val="4"/>
    <w:semiHidden/>
    <w:qFormat/>
    <w:locked/>
    <w:uiPriority w:val="99"/>
    <w:rPr>
      <w:rFonts w:ascii="Cambria" w:hAnsi="Cambria" w:eastAsia="宋体" w:cs="Times New Roman"/>
      <w:b/>
      <w:bCs/>
      <w:sz w:val="26"/>
      <w:szCs w:val="26"/>
    </w:rPr>
  </w:style>
  <w:style w:type="character" w:customStyle="1" w:styleId="25">
    <w:name w:val="Heading 4 Char"/>
    <w:basedOn w:val="19"/>
    <w:link w:val="5"/>
    <w:semiHidden/>
    <w:qFormat/>
    <w:locked/>
    <w:uiPriority w:val="99"/>
    <w:rPr>
      <w:rFonts w:cs="Times New Roman"/>
      <w:b/>
      <w:bCs/>
      <w:sz w:val="28"/>
      <w:szCs w:val="28"/>
    </w:rPr>
  </w:style>
  <w:style w:type="character" w:customStyle="1" w:styleId="26">
    <w:name w:val="Heading 5 Char"/>
    <w:basedOn w:val="19"/>
    <w:link w:val="6"/>
    <w:semiHidden/>
    <w:qFormat/>
    <w:locked/>
    <w:uiPriority w:val="99"/>
    <w:rPr>
      <w:rFonts w:cs="Times New Roman"/>
      <w:b/>
      <w:bCs/>
      <w:i/>
      <w:iCs/>
      <w:sz w:val="26"/>
      <w:szCs w:val="26"/>
    </w:rPr>
  </w:style>
  <w:style w:type="character" w:customStyle="1" w:styleId="27">
    <w:name w:val="Heading 6 Char"/>
    <w:basedOn w:val="19"/>
    <w:link w:val="7"/>
    <w:semiHidden/>
    <w:qFormat/>
    <w:locked/>
    <w:uiPriority w:val="99"/>
    <w:rPr>
      <w:rFonts w:cs="Times New Roman"/>
      <w:b/>
      <w:bCs/>
    </w:rPr>
  </w:style>
  <w:style w:type="character" w:customStyle="1" w:styleId="28">
    <w:name w:val="Heading 7 Char"/>
    <w:basedOn w:val="19"/>
    <w:link w:val="8"/>
    <w:semiHidden/>
    <w:qFormat/>
    <w:locked/>
    <w:uiPriority w:val="99"/>
    <w:rPr>
      <w:rFonts w:cs="Times New Roman"/>
      <w:sz w:val="24"/>
      <w:szCs w:val="24"/>
    </w:rPr>
  </w:style>
  <w:style w:type="character" w:customStyle="1" w:styleId="29">
    <w:name w:val="Heading 8 Char"/>
    <w:basedOn w:val="19"/>
    <w:link w:val="9"/>
    <w:semiHidden/>
    <w:qFormat/>
    <w:locked/>
    <w:uiPriority w:val="99"/>
    <w:rPr>
      <w:rFonts w:cs="Times New Roman"/>
      <w:i/>
      <w:iCs/>
      <w:sz w:val="24"/>
      <w:szCs w:val="24"/>
    </w:rPr>
  </w:style>
  <w:style w:type="character" w:customStyle="1" w:styleId="30">
    <w:name w:val="Heading 9 Char"/>
    <w:basedOn w:val="19"/>
    <w:link w:val="10"/>
    <w:semiHidden/>
    <w:qFormat/>
    <w:locked/>
    <w:uiPriority w:val="99"/>
    <w:rPr>
      <w:rFonts w:ascii="Cambria" w:hAnsi="Cambria" w:eastAsia="宋体" w:cs="Times New Roman"/>
    </w:rPr>
  </w:style>
  <w:style w:type="character" w:customStyle="1" w:styleId="31">
    <w:name w:val="Balloon Text Char"/>
    <w:basedOn w:val="19"/>
    <w:link w:val="12"/>
    <w:semiHidden/>
    <w:qFormat/>
    <w:locked/>
    <w:uiPriority w:val="99"/>
    <w:rPr>
      <w:rFonts w:ascii="Times New Roman" w:hAnsi="Times New Roman" w:eastAsia="宋体" w:cs="Times New Roman"/>
      <w:kern w:val="2"/>
      <w:sz w:val="18"/>
      <w:szCs w:val="18"/>
    </w:rPr>
  </w:style>
  <w:style w:type="character" w:customStyle="1" w:styleId="32">
    <w:name w:val="Footer Char"/>
    <w:basedOn w:val="19"/>
    <w:link w:val="13"/>
    <w:qFormat/>
    <w:locked/>
    <w:uiPriority w:val="99"/>
    <w:rPr>
      <w:rFonts w:ascii="Calibri" w:hAnsi="Calibri" w:eastAsia="宋体" w:cs="Times New Roman"/>
      <w:kern w:val="2"/>
      <w:sz w:val="18"/>
      <w:szCs w:val="18"/>
    </w:rPr>
  </w:style>
  <w:style w:type="character" w:customStyle="1" w:styleId="33">
    <w:name w:val="Header Char"/>
    <w:basedOn w:val="19"/>
    <w:link w:val="14"/>
    <w:qFormat/>
    <w:locked/>
    <w:uiPriority w:val="99"/>
    <w:rPr>
      <w:rFonts w:ascii="Calibri" w:hAnsi="Calibri" w:eastAsia="宋体" w:cs="Times New Roman"/>
      <w:kern w:val="2"/>
      <w:sz w:val="18"/>
      <w:szCs w:val="18"/>
    </w:rPr>
  </w:style>
  <w:style w:type="character" w:customStyle="1" w:styleId="34">
    <w:name w:val="Subtitle Char"/>
    <w:basedOn w:val="19"/>
    <w:link w:val="15"/>
    <w:qFormat/>
    <w:locked/>
    <w:uiPriority w:val="99"/>
    <w:rPr>
      <w:rFonts w:ascii="Cambria" w:hAnsi="Cambria" w:eastAsia="宋体" w:cs="Times New Roman"/>
      <w:sz w:val="24"/>
      <w:szCs w:val="24"/>
    </w:rPr>
  </w:style>
  <w:style w:type="character" w:customStyle="1" w:styleId="35">
    <w:name w:val="Title Char"/>
    <w:basedOn w:val="19"/>
    <w:link w:val="17"/>
    <w:qFormat/>
    <w:locked/>
    <w:uiPriority w:val="99"/>
    <w:rPr>
      <w:rFonts w:ascii="Cambria" w:hAnsi="Cambria" w:eastAsia="宋体" w:cs="Times New Roman"/>
      <w:b/>
      <w:bCs/>
      <w:kern w:val="28"/>
      <w:sz w:val="32"/>
      <w:szCs w:val="32"/>
    </w:rPr>
  </w:style>
  <w:style w:type="paragraph" w:styleId="36">
    <w:name w:val="No Spacing"/>
    <w:basedOn w:val="1"/>
    <w:qFormat/>
    <w:uiPriority w:val="99"/>
    <w:pPr>
      <w:widowControl/>
      <w:jc w:val="left"/>
    </w:pPr>
    <w:rPr>
      <w:rFonts w:ascii="Calibri" w:hAnsi="Calibri"/>
      <w:kern w:val="0"/>
      <w:sz w:val="24"/>
      <w:szCs w:val="32"/>
      <w:lang w:eastAsia="en-US"/>
    </w:rPr>
  </w:style>
  <w:style w:type="paragraph" w:styleId="37">
    <w:name w:val="List Paragraph"/>
    <w:basedOn w:val="1"/>
    <w:qFormat/>
    <w:uiPriority w:val="99"/>
    <w:pPr>
      <w:widowControl/>
      <w:ind w:left="720"/>
      <w:contextualSpacing/>
      <w:jc w:val="left"/>
    </w:pPr>
    <w:rPr>
      <w:rFonts w:ascii="Calibri" w:hAnsi="Calibri"/>
      <w:kern w:val="0"/>
      <w:sz w:val="24"/>
      <w:lang w:eastAsia="en-US"/>
    </w:rPr>
  </w:style>
  <w:style w:type="paragraph" w:styleId="38">
    <w:name w:val="Quote"/>
    <w:basedOn w:val="1"/>
    <w:next w:val="1"/>
    <w:link w:val="39"/>
    <w:qFormat/>
    <w:uiPriority w:val="99"/>
    <w:pPr>
      <w:widowControl/>
      <w:jc w:val="left"/>
    </w:pPr>
    <w:rPr>
      <w:rFonts w:ascii="Calibri" w:hAnsi="Calibri"/>
      <w:i/>
      <w:kern w:val="0"/>
      <w:sz w:val="24"/>
    </w:rPr>
  </w:style>
  <w:style w:type="character" w:customStyle="1" w:styleId="39">
    <w:name w:val="Quote Char"/>
    <w:basedOn w:val="19"/>
    <w:link w:val="38"/>
    <w:qFormat/>
    <w:locked/>
    <w:uiPriority w:val="99"/>
    <w:rPr>
      <w:rFonts w:cs="Times New Roman"/>
      <w:i/>
      <w:sz w:val="24"/>
      <w:szCs w:val="24"/>
    </w:rPr>
  </w:style>
  <w:style w:type="paragraph" w:styleId="40">
    <w:name w:val="Intense Quote"/>
    <w:basedOn w:val="1"/>
    <w:next w:val="1"/>
    <w:link w:val="41"/>
    <w:qFormat/>
    <w:uiPriority w:val="99"/>
    <w:pPr>
      <w:widowControl/>
      <w:ind w:left="720" w:right="720"/>
      <w:jc w:val="left"/>
    </w:pPr>
    <w:rPr>
      <w:rFonts w:ascii="Calibri" w:hAnsi="Calibri"/>
      <w:b/>
      <w:i/>
      <w:kern w:val="0"/>
      <w:sz w:val="24"/>
      <w:szCs w:val="22"/>
    </w:rPr>
  </w:style>
  <w:style w:type="character" w:customStyle="1" w:styleId="41">
    <w:name w:val="Intense Quote Char"/>
    <w:basedOn w:val="19"/>
    <w:link w:val="40"/>
    <w:qFormat/>
    <w:locked/>
    <w:uiPriority w:val="99"/>
    <w:rPr>
      <w:rFonts w:cs="Times New Roman"/>
      <w:b/>
      <w:i/>
      <w:sz w:val="24"/>
    </w:rPr>
  </w:style>
  <w:style w:type="character" w:customStyle="1" w:styleId="42">
    <w:name w:val="Subtle Emphasis1"/>
    <w:qFormat/>
    <w:uiPriority w:val="99"/>
    <w:rPr>
      <w:i/>
      <w:color w:val="595959"/>
    </w:rPr>
  </w:style>
  <w:style w:type="character" w:customStyle="1" w:styleId="43">
    <w:name w:val="Intense Emphasis1"/>
    <w:basedOn w:val="19"/>
    <w:qFormat/>
    <w:uiPriority w:val="99"/>
    <w:rPr>
      <w:rFonts w:cs="Times New Roman"/>
      <w:b/>
      <w:i/>
      <w:sz w:val="24"/>
      <w:szCs w:val="24"/>
      <w:u w:val="single"/>
    </w:rPr>
  </w:style>
  <w:style w:type="character" w:customStyle="1" w:styleId="44">
    <w:name w:val="Subtle Reference1"/>
    <w:basedOn w:val="19"/>
    <w:qFormat/>
    <w:uiPriority w:val="99"/>
    <w:rPr>
      <w:rFonts w:cs="Times New Roman"/>
      <w:sz w:val="24"/>
      <w:szCs w:val="24"/>
      <w:u w:val="single"/>
    </w:rPr>
  </w:style>
  <w:style w:type="character" w:customStyle="1" w:styleId="45">
    <w:name w:val="Intense Reference1"/>
    <w:basedOn w:val="19"/>
    <w:qFormat/>
    <w:uiPriority w:val="99"/>
    <w:rPr>
      <w:rFonts w:cs="Times New Roman"/>
      <w:b/>
      <w:sz w:val="24"/>
      <w:u w:val="single"/>
    </w:rPr>
  </w:style>
  <w:style w:type="character" w:customStyle="1" w:styleId="46">
    <w:name w:val="Book Title1"/>
    <w:basedOn w:val="19"/>
    <w:qFormat/>
    <w:uiPriority w:val="99"/>
    <w:rPr>
      <w:rFonts w:ascii="Cambria" w:hAnsi="Cambria" w:eastAsia="宋体" w:cs="Times New Roman"/>
      <w:b/>
      <w:i/>
      <w:sz w:val="24"/>
      <w:szCs w:val="24"/>
    </w:rPr>
  </w:style>
  <w:style w:type="paragraph" w:customStyle="1" w:styleId="47">
    <w:name w:val="TOC Heading1"/>
    <w:basedOn w:val="2"/>
    <w:next w:val="1"/>
    <w:semiHidden/>
    <w:qFormat/>
    <w:uiPriority w:val="99"/>
    <w:pPr>
      <w:outlineLvl w:val="9"/>
    </w:pPr>
    <w:rPr>
      <w:lang w:eastAsia="en-US"/>
    </w:rPr>
  </w:style>
  <w:style w:type="character" w:customStyle="1" w:styleId="48">
    <w:name w:val="Plain Text Char"/>
    <w:basedOn w:val="19"/>
    <w:link w:val="11"/>
    <w:semiHidden/>
    <w:qFormat/>
    <w:locked/>
    <w:uiPriority w:val="99"/>
    <w:rPr>
      <w:rFonts w:ascii="宋体" w:hAnsi="Courier New" w:cs="Courier New"/>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278</Words>
  <Characters>1589</Characters>
  <Lines>0</Lines>
  <Paragraphs>0</Paragraphs>
  <TotalTime>1</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2019-02-02T22:48:00Z</dcterms:created>
  <dc:creator>赵 恺（预算处）</dc:creator>
  <cp:lastModifiedBy>dzyl</cp:lastModifiedBy>
  <cp:lastPrinted>2019-01-01T02:56:00Z</cp:lastPrinted>
  <dcterms:modified xsi:type="dcterms:W3CDTF">2021-05-14T13:24:58Z</dcterms:modified>
  <dc:title>附件2：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