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8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8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71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70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汪晓灵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委员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关于对永兴路（南岸一号至二师医院家属院门口路段）占道经营进行整治的提案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》收悉，经认真研究，现答复如下：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焉耆县城市管理综合执法局与永宁镇永兴社区</w:t>
      </w:r>
      <w:r>
        <w:rPr>
          <w:rFonts w:hint="eastAsia"/>
          <w:lang w:val="en-US" w:eastAsia="zh-CN"/>
        </w:rPr>
        <w:t>对该路段已</w:t>
      </w:r>
      <w:r>
        <w:rPr>
          <w:rFonts w:hint="default"/>
          <w:lang w:val="en-US" w:eastAsia="zh-CN"/>
        </w:rPr>
        <w:t>进行联合整治，加大对占道经营行为的整治力度，同时对摊贩进行法律法规的宣传，引导流动摊贩至指定经营区域进行</w:t>
      </w:r>
      <w:r>
        <w:rPr>
          <w:rFonts w:hint="eastAsia"/>
          <w:lang w:val="en-US" w:eastAsia="zh-CN"/>
        </w:rPr>
        <w:t>规范</w:t>
      </w:r>
      <w:r>
        <w:rPr>
          <w:rFonts w:hint="default"/>
          <w:lang w:val="en-US" w:eastAsia="zh-CN"/>
        </w:rPr>
        <w:t>经营。</w:t>
      </w: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再次感谢您对城市建设工作的关心，希望您能一如既往地支持城市建设工作，提出宝贵的意见和建议！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 办 人：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苏丽娅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6011829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bookmarkEnd w:id="0"/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D542F"/>
    <w:rsid w:val="2E8921CB"/>
    <w:rsid w:val="40E82494"/>
    <w:rsid w:val="57503583"/>
    <w:rsid w:val="5D0D542F"/>
    <w:rsid w:val="719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both"/>
    </w:pPr>
    <w:rPr>
      <w:color w:val="auto"/>
      <w:kern w:val="2"/>
      <w:sz w:val="21"/>
      <w:szCs w:val="21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customStyle="1" w:styleId="8">
    <w:name w:val="样式 表内容 + 行距: 固定值 28 磅"/>
    <w:basedOn w:val="9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9">
    <w:name w:val="表内容"/>
    <w:basedOn w:val="1"/>
    <w:next w:val="1"/>
    <w:qFormat/>
    <w:uiPriority w:val="0"/>
    <w:pPr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2024-05-15T04:13:00Z</dcterms:created>
  <dc:creator>Administrator</dc:creator>
  <cp:lastModifiedBy>Administrator</cp:lastModifiedBy>
  <cp:lastPrinted>2024-05-17T04:13:09Z</cp:lastPrinted>
  <dcterms:modified xsi:type="dcterms:W3CDTF">2024-05-17T04:13:12Z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