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01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</w:pPr>
      <w:r>
        <w:rPr>
          <w:rFonts w:hint="eastAsia" w:ascii="Times New Roman" w:eastAsia="方正仿宋_GBK" w:cs="方正仿宋_GBK"/>
          <w:b w:val="0"/>
          <w:bCs w:val="0"/>
          <w:sz w:val="32"/>
          <w:szCs w:val="32"/>
          <w:lang w:val="en-US" w:eastAsia="zh-CN"/>
        </w:rPr>
        <w:t>巴·巴音克西克、陈雪、买跃丽、苏英委员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届</w:t>
      </w:r>
      <w:r>
        <w:rPr>
          <w:rFonts w:hint="eastAsia" w:ascii="Times New Roman" w:eastAsia="方正仿宋_GBK" w:cs="Times New Roman"/>
          <w:b w:val="0"/>
          <w:bCs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次会议上，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您们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提出的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关于进一步加强高层消防安全管理的提案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收悉，经认真研究，现答复如下：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局将会同公安、消防、各乡镇等部门加强高层建筑消防安全管理。要求小区物业制定消防安全管理制度和应急预案，并定期组织居民进行消防安全培训和消防疏散演练，使居民熟悉疏散路线和逃生方法。督促物业消防管理人员定期检查消防设施设备运行情况，加大消防安全隐患排查力度，及时清理楼道、地下室堆放的易燃可燃物，切实消除消防安全隐患。配合消防部门组织物业企业定期施划消防车道、停车位标识标线，确保消防车道宽度、转弯半径等符合规范要求，消防车能够顺利通行。同时，督促物业企业加大消防车道巡查，及时清理占用消防通道车辆，引导业主规范停放车辆，确保消防车通道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我局将对未进行竣工验收高层建筑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积极做好建设项目工程资料审核、现场消防验收、网上备案审批等工作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并督促项目建设方针对验收过程中发现的消防问题尽快完成整改，对于整改完毕的建设项目，按照标准进行验收，严格把关，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确保高层建筑消防应验尽验。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eastAsia="方正仿宋_GBK" w:cs="Times New Roman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一步我局将会同相关部门加大消防安全宣传力度，提高居民消防安全意识。通过举办消防安全知识讲座，发放宣传资料、业主微信群发送火灾警示案例等方式，让居民深入了解火灾的危害性、预防火灾的方法以及火灾发生时的应对措施，切实提高居民的消防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对城市建设工作的关心，希望您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eastAsia" w:ascii="Times New Roman" w:eastAsia="方正仿宋_GBK" w:cs="Times New Roman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马学强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 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eastAsia" w:asci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4"/>
        <w:rPr>
          <w:rFonts w:hint="default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60288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1312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2336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</w:t>
      </w:r>
      <w:r>
        <w:rPr>
          <w:rFonts w:hint="eastAsia" w:asci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639EF"/>
    <w:rsid w:val="180A4DAC"/>
    <w:rsid w:val="1DE3527E"/>
    <w:rsid w:val="40E82494"/>
    <w:rsid w:val="46A025DE"/>
    <w:rsid w:val="649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2024-05-14T09:00:00Z</dcterms:created>
  <dc:creator>Administrator</dc:creator>
  <cp:lastModifiedBy>Administrator</cp:lastModifiedBy>
  <cp:lastPrinted>2024-05-17T03:20:58Z</cp:lastPrinted>
  <dcterms:modified xsi:type="dcterms:W3CDTF">2024-05-17T03:21:03Z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