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bCs/>
          <w:color w:val="auto"/>
          <w:sz w:val="28"/>
          <w:szCs w:val="28"/>
        </w:rPr>
      </w:pPr>
    </w:p>
    <w:p>
      <w:pPr>
        <w:jc w:val="center"/>
        <w:rPr>
          <w:rFonts w:hint="eastAsia" w:ascii="方正小标宋_GBK" w:hAnsi="方正小标宋_GBK" w:eastAsia="方正小标宋_GBK" w:cs="方正小标宋_GBK"/>
          <w:b w:val="0"/>
          <w:bCs w:val="0"/>
          <w:snapToGrid w:val="0"/>
          <w:kern w:val="0"/>
          <w:sz w:val="44"/>
          <w:szCs w:val="44"/>
        </w:rPr>
      </w:pPr>
    </w:p>
    <w:p>
      <w:pPr>
        <w:pStyle w:val="2"/>
        <w:rPr>
          <w:rFonts w:hint="eastAsia"/>
        </w:rPr>
      </w:pPr>
    </w:p>
    <w:p>
      <w:pPr>
        <w:jc w:val="center"/>
        <w:rPr>
          <w:rFonts w:hint="eastAsia" w:ascii="方正小标宋_GBK" w:hAnsi="方正小标宋_GBK" w:eastAsia="方正小标宋_GBK" w:cs="方正小标宋_GBK"/>
          <w:b w:val="0"/>
          <w:bCs w:val="0"/>
          <w:snapToGrid w:val="0"/>
          <w:kern w:val="0"/>
          <w:sz w:val="44"/>
          <w:szCs w:val="44"/>
        </w:rPr>
      </w:pPr>
      <w:r>
        <w:rPr>
          <w:rFonts w:hint="eastAsia" w:ascii="方正小标宋_GBK" w:hAnsi="方正小标宋_GBK" w:eastAsia="方正小标宋_GBK" w:cs="方正小标宋_GBK"/>
          <w:b w:val="0"/>
          <w:bCs w:val="0"/>
          <w:snapToGrid w:val="0"/>
          <w:kern w:val="0"/>
          <w:sz w:val="44"/>
          <w:szCs w:val="44"/>
        </w:rPr>
        <w:t>焉耆回族自治县国民经济和社会发展第十</w:t>
      </w:r>
      <w:r>
        <w:rPr>
          <w:rFonts w:hint="eastAsia" w:ascii="方正小标宋_GBK" w:hAnsi="方正小标宋_GBK" w:eastAsia="方正小标宋_GBK" w:cs="方正小标宋_GBK"/>
          <w:b w:val="0"/>
          <w:bCs w:val="0"/>
          <w:snapToGrid w:val="0"/>
          <w:kern w:val="0"/>
          <w:sz w:val="44"/>
          <w:szCs w:val="44"/>
          <w:lang w:eastAsia="zh-CN"/>
        </w:rPr>
        <w:t>四</w:t>
      </w:r>
      <w:r>
        <w:rPr>
          <w:rFonts w:hint="eastAsia" w:ascii="方正小标宋_GBK" w:hAnsi="方正小标宋_GBK" w:eastAsia="方正小标宋_GBK" w:cs="方正小标宋_GBK"/>
          <w:b w:val="0"/>
          <w:bCs w:val="0"/>
          <w:snapToGrid w:val="0"/>
          <w:kern w:val="0"/>
          <w:sz w:val="44"/>
          <w:szCs w:val="44"/>
        </w:rPr>
        <w:t>个五年规划</w:t>
      </w:r>
      <w:r>
        <w:rPr>
          <w:rFonts w:hint="eastAsia" w:ascii="方正小标宋_GBK" w:hAnsi="方正小标宋_GBK" w:eastAsia="方正小标宋_GBK" w:cs="方正小标宋_GBK"/>
          <w:b w:val="0"/>
          <w:bCs w:val="0"/>
          <w:snapToGrid w:val="0"/>
          <w:kern w:val="0"/>
          <w:sz w:val="44"/>
          <w:szCs w:val="44"/>
          <w:lang w:eastAsia="zh-CN"/>
        </w:rPr>
        <w:t>及</w:t>
      </w:r>
      <w:r>
        <w:rPr>
          <w:rFonts w:hint="eastAsia" w:ascii="方正小标宋_GBK" w:hAnsi="方正小标宋_GBK" w:eastAsia="方正小标宋_GBK" w:cs="方正小标宋_GBK"/>
          <w:b w:val="0"/>
          <w:bCs w:val="0"/>
          <w:snapToGrid w:val="0"/>
          <w:kern w:val="0"/>
          <w:sz w:val="44"/>
          <w:szCs w:val="44"/>
        </w:rPr>
        <w:t>二〇三五年远景目标纲要</w:t>
      </w:r>
    </w:p>
    <w:p>
      <w:pPr>
        <w:jc w:val="center"/>
        <w:rPr>
          <w:rFonts w:hint="eastAsia" w:ascii="方正小标宋_GBK" w:hAnsi="方正小标宋_GBK" w:eastAsia="方正小标宋_GBK" w:cs="方正小标宋_GBK"/>
          <w:b w:val="0"/>
          <w:bCs w:val="0"/>
          <w:snapToGrid w:val="0"/>
          <w:kern w:val="0"/>
          <w:sz w:val="44"/>
          <w:szCs w:val="44"/>
          <w:lang w:eastAsia="zh-CN"/>
        </w:rPr>
      </w:pPr>
      <w:r>
        <w:rPr>
          <w:rFonts w:hint="eastAsia" w:ascii="方正小标宋_GBK" w:hAnsi="方正小标宋_GBK" w:eastAsia="方正小标宋_GBK" w:cs="方正小标宋_GBK"/>
          <w:b w:val="0"/>
          <w:bCs w:val="0"/>
          <w:snapToGrid w:val="0"/>
          <w:kern w:val="0"/>
          <w:sz w:val="44"/>
          <w:szCs w:val="44"/>
          <w:lang w:eastAsia="zh-CN"/>
        </w:rPr>
        <w:t>（社会公开稿）</w:t>
      </w:r>
    </w:p>
    <w:p>
      <w:pPr>
        <w:widowControl/>
        <w:ind w:left="0" w:leftChars="0" w:firstLine="0" w:firstLineChars="0"/>
        <w:jc w:val="center"/>
        <w:rPr>
          <w:kern w:val="0"/>
        </w:rPr>
      </w:pPr>
    </w:p>
    <w:p>
      <w:pPr>
        <w:widowControl/>
        <w:ind w:left="0" w:leftChars="0" w:firstLine="0" w:firstLineChars="0"/>
        <w:jc w:val="center"/>
        <w:rPr>
          <w:kern w:val="0"/>
        </w:rPr>
      </w:pPr>
    </w:p>
    <w:p>
      <w:pPr>
        <w:widowControl/>
        <w:ind w:left="0" w:leftChars="0" w:firstLine="0" w:firstLineChars="0"/>
        <w:jc w:val="center"/>
        <w:rPr>
          <w:kern w:val="0"/>
        </w:rPr>
      </w:pPr>
    </w:p>
    <w:p>
      <w:pPr>
        <w:widowControl/>
        <w:ind w:left="0" w:leftChars="0" w:firstLine="0" w:firstLineChars="0"/>
        <w:jc w:val="center"/>
        <w:rPr>
          <w:kern w:val="0"/>
        </w:rPr>
      </w:pPr>
    </w:p>
    <w:p>
      <w:pPr>
        <w:widowControl/>
        <w:ind w:left="0" w:leftChars="0" w:firstLine="0" w:firstLineChars="0"/>
        <w:jc w:val="center"/>
        <w:rPr>
          <w:kern w:val="0"/>
        </w:rPr>
      </w:pPr>
    </w:p>
    <w:p>
      <w:pPr>
        <w:widowControl/>
        <w:ind w:left="0" w:leftChars="0" w:firstLine="0" w:firstLineChars="0"/>
        <w:jc w:val="center"/>
        <w:rPr>
          <w:kern w:val="0"/>
        </w:rPr>
      </w:pPr>
    </w:p>
    <w:p>
      <w:pPr>
        <w:widowControl/>
        <w:ind w:left="0" w:leftChars="0" w:firstLine="0" w:firstLineChars="0"/>
        <w:jc w:val="center"/>
        <w:rPr>
          <w:kern w:val="0"/>
        </w:rPr>
      </w:pPr>
    </w:p>
    <w:p>
      <w:pPr>
        <w:widowControl/>
        <w:ind w:left="0" w:leftChars="0" w:firstLine="0" w:firstLineChars="0"/>
        <w:jc w:val="center"/>
        <w:rPr>
          <w:kern w:val="0"/>
        </w:rPr>
      </w:pPr>
    </w:p>
    <w:p>
      <w:pPr>
        <w:widowControl/>
        <w:ind w:left="0" w:leftChars="0" w:firstLine="0" w:firstLineChars="0"/>
        <w:jc w:val="center"/>
        <w:rPr>
          <w:kern w:val="0"/>
        </w:rPr>
      </w:pPr>
    </w:p>
    <w:p>
      <w:pPr>
        <w:widowControl/>
        <w:ind w:left="0" w:leftChars="0" w:firstLine="0" w:firstLineChars="0"/>
        <w:jc w:val="center"/>
        <w:rPr>
          <w:kern w:val="0"/>
        </w:rPr>
      </w:pPr>
    </w:p>
    <w:p>
      <w:pPr>
        <w:widowControl/>
        <w:ind w:left="0" w:leftChars="0" w:firstLine="0" w:firstLineChars="0"/>
        <w:jc w:val="center"/>
        <w:rPr>
          <w:kern w:val="0"/>
        </w:rPr>
      </w:pPr>
    </w:p>
    <w:p>
      <w:pPr>
        <w:pStyle w:val="6"/>
        <w:ind w:left="0" w:leftChars="0" w:firstLine="0" w:firstLineChars="0"/>
        <w:jc w:val="center"/>
      </w:pPr>
    </w:p>
    <w:p>
      <w:pPr>
        <w:ind w:left="0" w:leftChars="0" w:firstLine="0" w:firstLineChars="0"/>
        <w:jc w:val="center"/>
      </w:pPr>
    </w:p>
    <w:p>
      <w:pPr>
        <w:pStyle w:val="3"/>
        <w:ind w:left="0" w:leftChars="0" w:firstLine="0" w:firstLineChars="0"/>
        <w:jc w:val="center"/>
      </w:pPr>
    </w:p>
    <w:p>
      <w:pPr>
        <w:widowControl/>
        <w:ind w:left="0" w:leftChars="0" w:firstLine="0" w:firstLineChars="0"/>
        <w:jc w:val="center"/>
        <w:rPr>
          <w:kern w:val="0"/>
        </w:rPr>
      </w:pPr>
    </w:p>
    <w:p>
      <w:pPr>
        <w:spacing w:line="560" w:lineRule="exact"/>
        <w:jc w:val="center"/>
        <w:rPr>
          <w:rFonts w:hint="default" w:ascii="Times New Roman" w:hAnsi="Times New Roman" w:eastAsia="楷体_GB2312" w:cs="Times New Roman"/>
          <w:b w:val="0"/>
          <w:bCs w:val="0"/>
          <w:snapToGrid w:val="0"/>
          <w:kern w:val="0"/>
          <w:sz w:val="36"/>
          <w:szCs w:val="36"/>
        </w:rPr>
      </w:pPr>
      <w:r>
        <w:rPr>
          <w:rFonts w:hint="default" w:ascii="Times New Roman" w:hAnsi="Times New Roman" w:eastAsia="楷体_GB2312" w:cs="Times New Roman"/>
          <w:b w:val="0"/>
          <w:bCs w:val="0"/>
          <w:snapToGrid w:val="0"/>
          <w:kern w:val="0"/>
          <w:sz w:val="36"/>
          <w:szCs w:val="36"/>
        </w:rPr>
        <w:t>焉耆回族自治县“十</w:t>
      </w:r>
      <w:r>
        <w:rPr>
          <w:rFonts w:hint="eastAsia" w:ascii="Times New Roman" w:hAnsi="Times New Roman" w:eastAsia="楷体_GB2312" w:cs="Times New Roman"/>
          <w:b w:val="0"/>
          <w:bCs w:val="0"/>
          <w:snapToGrid w:val="0"/>
          <w:kern w:val="0"/>
          <w:sz w:val="36"/>
          <w:szCs w:val="36"/>
          <w:lang w:eastAsia="zh-CN"/>
        </w:rPr>
        <w:t>四</w:t>
      </w:r>
      <w:r>
        <w:rPr>
          <w:rFonts w:hint="default" w:ascii="Times New Roman" w:hAnsi="Times New Roman" w:eastAsia="楷体_GB2312" w:cs="Times New Roman"/>
          <w:b w:val="0"/>
          <w:bCs w:val="0"/>
          <w:snapToGrid w:val="0"/>
          <w:kern w:val="0"/>
          <w:sz w:val="36"/>
          <w:szCs w:val="36"/>
        </w:rPr>
        <w:t>五”规划编制工作</w:t>
      </w:r>
    </w:p>
    <w:p>
      <w:pPr>
        <w:spacing w:line="560" w:lineRule="exact"/>
        <w:jc w:val="center"/>
        <w:rPr>
          <w:rFonts w:hint="default" w:ascii="Times New Roman" w:hAnsi="Times New Roman" w:eastAsia="楷体_GB2312" w:cs="Times New Roman"/>
          <w:b w:val="0"/>
          <w:bCs w:val="0"/>
          <w:snapToGrid w:val="0"/>
          <w:spacing w:val="60"/>
          <w:kern w:val="0"/>
          <w:sz w:val="36"/>
          <w:szCs w:val="36"/>
        </w:rPr>
      </w:pPr>
      <w:r>
        <w:rPr>
          <w:rFonts w:hint="default" w:ascii="Times New Roman" w:hAnsi="Times New Roman" w:eastAsia="楷体_GB2312" w:cs="Times New Roman"/>
          <w:b w:val="0"/>
          <w:bCs w:val="0"/>
          <w:snapToGrid w:val="0"/>
          <w:spacing w:val="60"/>
          <w:kern w:val="0"/>
          <w:sz w:val="36"/>
          <w:szCs w:val="36"/>
        </w:rPr>
        <w:t>领导小组办公室</w:t>
      </w:r>
    </w:p>
    <w:p>
      <w:pPr>
        <w:pStyle w:val="12"/>
        <w:tabs>
          <w:tab w:val="right" w:leader="dot" w:pos="8844"/>
        </w:tabs>
        <w:jc w:val="center"/>
        <w:rPr>
          <w:rFonts w:hint="eastAsia"/>
          <w:lang w:eastAsia="zh-CN"/>
        </w:rPr>
      </w:pPr>
      <w:r>
        <w:rPr>
          <w:rFonts w:hint="default" w:ascii="Times New Roman" w:hAnsi="Times New Roman" w:eastAsia="楷体_GB2312" w:cs="Times New Roman"/>
          <w:b w:val="0"/>
          <w:bCs w:val="0"/>
          <w:snapToGrid w:val="0"/>
          <w:kern w:val="0"/>
          <w:sz w:val="32"/>
          <w:szCs w:val="32"/>
          <w:lang w:val="en-US" w:eastAsia="zh-CN"/>
        </w:rPr>
        <w:t>202</w:t>
      </w:r>
      <w:r>
        <w:rPr>
          <w:rFonts w:hint="eastAsia" w:ascii="Times New Roman" w:hAnsi="Times New Roman" w:eastAsia="楷体_GB2312" w:cs="Times New Roman"/>
          <w:b w:val="0"/>
          <w:bCs w:val="0"/>
          <w:snapToGrid w:val="0"/>
          <w:kern w:val="0"/>
          <w:sz w:val="32"/>
          <w:szCs w:val="32"/>
          <w:lang w:val="en-US" w:eastAsia="zh-CN"/>
        </w:rPr>
        <w:t>1</w:t>
      </w:r>
      <w:r>
        <w:rPr>
          <w:rFonts w:hint="default" w:ascii="Times New Roman" w:hAnsi="Times New Roman" w:eastAsia="楷体_GB2312" w:cs="Times New Roman"/>
          <w:b w:val="0"/>
          <w:bCs w:val="0"/>
          <w:snapToGrid w:val="0"/>
          <w:kern w:val="0"/>
          <w:sz w:val="32"/>
          <w:szCs w:val="32"/>
        </w:rPr>
        <w:t>年</w:t>
      </w:r>
      <w:r>
        <w:rPr>
          <w:rFonts w:hint="eastAsia" w:ascii="Times New Roman" w:hAnsi="Times New Roman" w:eastAsia="楷体_GB2312" w:cs="Times New Roman"/>
          <w:b w:val="0"/>
          <w:bCs w:val="0"/>
          <w:snapToGrid w:val="0"/>
          <w:kern w:val="0"/>
          <w:sz w:val="32"/>
          <w:szCs w:val="32"/>
          <w:lang w:val="en-US" w:eastAsia="zh-CN"/>
        </w:rPr>
        <w:t>9</w:t>
      </w:r>
      <w:r>
        <w:rPr>
          <w:rFonts w:hint="default" w:ascii="Times New Roman" w:hAnsi="Times New Roman" w:eastAsia="楷体_GB2312" w:cs="Times New Roman"/>
          <w:b w:val="0"/>
          <w:bCs w:val="0"/>
          <w:snapToGrid w:val="0"/>
          <w:kern w:val="0"/>
          <w:sz w:val="32"/>
          <w:szCs w:val="32"/>
        </w:rPr>
        <w:t>月</w:t>
      </w:r>
    </w:p>
    <w:p>
      <w:pPr>
        <w:pStyle w:val="12"/>
        <w:tabs>
          <w:tab w:val="right" w:leader="dot" w:pos="8844"/>
        </w:tabs>
        <w:jc w:val="center"/>
        <w:rPr>
          <w:rFonts w:hint="eastAsia" w:ascii="方正小标宋_GBK" w:hAnsi="方正小标宋_GBK" w:eastAsia="方正小标宋_GBK" w:cs="方正小标宋_GBK"/>
          <w:b w:val="0"/>
          <w:bCs/>
          <w:sz w:val="40"/>
          <w:szCs w:val="40"/>
          <w:lang w:eastAsia="zh-CN"/>
        </w:rPr>
        <w:sectPr>
          <w:pgSz w:w="11906" w:h="16838"/>
          <w:pgMar w:top="1871" w:right="1531" w:bottom="1984" w:left="1531" w:header="851" w:footer="992" w:gutter="0"/>
          <w:pgNumType w:fmt="numberInDash" w:start="1"/>
          <w:cols w:space="425" w:num="1"/>
          <w:docGrid w:type="lines" w:linePitch="312" w:charSpace="0"/>
        </w:sectPr>
      </w:pPr>
    </w:p>
    <w:p>
      <w:pPr>
        <w:rPr>
          <w:rFonts w:hint="eastAsia"/>
          <w:lang w:eastAsia="zh-CN"/>
        </w:rPr>
      </w:pPr>
    </w:p>
    <w:p>
      <w:pPr>
        <w:pStyle w:val="12"/>
        <w:tabs>
          <w:tab w:val="right" w:leader="dot" w:pos="8844"/>
        </w:tabs>
        <w:jc w:val="center"/>
        <w:rPr>
          <w:rFonts w:hint="eastAsia" w:ascii="方正小标宋_GBK" w:hAnsi="方正小标宋_GBK" w:eastAsia="方正小标宋_GBK" w:cs="方正小标宋_GBK"/>
          <w:sz w:val="40"/>
          <w:szCs w:val="40"/>
        </w:rPr>
      </w:pPr>
      <w:r>
        <w:rPr>
          <w:rFonts w:hint="default" w:ascii="Times New Roman" w:hAnsi="Times New Roman" w:eastAsia="方正小标宋_GBK" w:cs="Times New Roman"/>
          <w:b w:val="0"/>
          <w:bCs/>
          <w:sz w:val="40"/>
          <w:szCs w:val="40"/>
        </w:rPr>
        <w:fldChar w:fldCharType="begin"/>
      </w:r>
      <w:r>
        <w:rPr>
          <w:rFonts w:hint="default" w:ascii="Times New Roman" w:hAnsi="Times New Roman" w:eastAsia="方正小标宋_GBK" w:cs="Times New Roman"/>
          <w:b w:val="0"/>
          <w:bCs/>
          <w:sz w:val="40"/>
          <w:szCs w:val="40"/>
        </w:rPr>
        <w:instrText xml:space="preserve">TOC \o "1-2" \h \u </w:instrText>
      </w:r>
      <w:r>
        <w:rPr>
          <w:rFonts w:hint="default" w:ascii="Times New Roman" w:hAnsi="Times New Roman" w:eastAsia="方正小标宋_GBK" w:cs="Times New Roman"/>
          <w:b w:val="0"/>
          <w:bCs/>
          <w:sz w:val="40"/>
          <w:szCs w:val="40"/>
        </w:rPr>
        <w:fldChar w:fldCharType="separate"/>
      </w:r>
      <w:r>
        <w:rPr>
          <w:rFonts w:hint="eastAsia" w:ascii="方正小标宋_GBK" w:hAnsi="方正小标宋_GBK" w:eastAsia="方正小标宋_GBK" w:cs="方正小标宋_GBK"/>
          <w:b w:val="0"/>
          <w:bCs/>
          <w:sz w:val="40"/>
          <w:szCs w:val="40"/>
          <w:lang w:eastAsia="zh-CN"/>
        </w:rPr>
        <w:t>目</w:t>
      </w:r>
      <w:r>
        <w:rPr>
          <w:rFonts w:hint="eastAsia" w:ascii="方正小标宋_GBK" w:hAnsi="方正小标宋_GBK" w:eastAsia="方正小标宋_GBK" w:cs="方正小标宋_GBK"/>
          <w:b w:val="0"/>
          <w:bCs/>
          <w:sz w:val="40"/>
          <w:szCs w:val="40"/>
          <w:lang w:val="en-US" w:eastAsia="zh-CN"/>
        </w:rPr>
        <w:t xml:space="preserve">  </w:t>
      </w:r>
      <w:r>
        <w:rPr>
          <w:rFonts w:hint="eastAsia" w:ascii="方正小标宋_GBK" w:hAnsi="方正小标宋_GBK" w:eastAsia="方正小标宋_GBK" w:cs="方正小标宋_GBK"/>
          <w:b w:val="0"/>
          <w:bCs/>
          <w:sz w:val="40"/>
          <w:szCs w:val="40"/>
          <w:lang w:eastAsia="zh-CN"/>
        </w:rPr>
        <w:t>录</w:t>
      </w:r>
    </w:p>
    <w:p>
      <w:pPr>
        <w:pStyle w:val="12"/>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_Toc22233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黑体_GBK" w:cs="Times New Roman"/>
          <w:b w:val="0"/>
          <w:bCs w:val="0"/>
          <w:sz w:val="28"/>
          <w:szCs w:val="28"/>
        </w:rPr>
        <w:t xml:space="preserve">第一章  </w:t>
      </w:r>
      <w:r>
        <w:rPr>
          <w:rFonts w:hint="default" w:ascii="Times New Roman" w:hAnsi="Times New Roman" w:eastAsia="方正黑体_GBK" w:cs="Times New Roman"/>
          <w:b w:val="0"/>
          <w:bCs w:val="0"/>
          <w:sz w:val="28"/>
          <w:szCs w:val="28"/>
          <w:lang w:val="en-US" w:eastAsia="zh-CN"/>
        </w:rPr>
        <w:t>聚焦落实总目标，开启发展新征程</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_Toc22233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- 6 -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_Toc26068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rPr>
        <w:t>第一节  “十三五”发展主要成就</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_Toc26068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- 6 -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_Toc12417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rPr>
        <w:t>第二节  “十四五”时期发展面临的重大机遇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_Toc12417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- 9 -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_Toc2955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第三节  “十四五”时期面临的困难和挑战</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_Toc2955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- 10 -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2"/>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_Toc9068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黑体_GBK" w:cs="Times New Roman"/>
          <w:b w:val="0"/>
          <w:bCs w:val="0"/>
          <w:sz w:val="28"/>
          <w:szCs w:val="28"/>
          <w:lang w:val="en-US" w:eastAsia="zh-CN"/>
        </w:rPr>
        <w:t>第二章  十四五”时期经济社会发展指导方针和主要目标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_Toc9068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- 10 -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_Toc4672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第一节  指导思想</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_Toc4672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- 11 -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_Toc19982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第二节  基本原则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_Toc19982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- 11 -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_Toc16053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第三节  主要目标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_Toc16053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- 12 -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_Toc2494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第四节  二〇三五年远景目标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_Toc2494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- 13 -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2"/>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_Toc30232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黑体_GBK" w:cs="Times New Roman"/>
          <w:b w:val="0"/>
          <w:bCs w:val="0"/>
          <w:sz w:val="28"/>
          <w:szCs w:val="28"/>
          <w:lang w:val="en-US" w:eastAsia="zh-CN"/>
        </w:rPr>
        <w:t>第三章  加快推动区域协同发展，稳步推进新型城镇化</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_Toc30232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- 14 -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_Toc7004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第一节  优化国土空间格局</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_Toc7004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- 14 -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_Toc13451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第二节  巩固提升东城新区建设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_Toc13451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- 15 -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_Toc13882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第三节  持续加大南连发展带建设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_Toc13882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- 17 -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_Toc20714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第四节  着力打造焉耆盆地“六个中心”</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_Toc20714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- 20 -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2"/>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_Toc19279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黑体_GBK" w:cs="Times New Roman"/>
          <w:b w:val="0"/>
          <w:bCs w:val="0"/>
          <w:sz w:val="28"/>
          <w:szCs w:val="28"/>
          <w:lang w:val="en-US" w:eastAsia="zh-CN"/>
        </w:rPr>
        <w:t>第四章  积极融入核心区建设，扎实推进对外开放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_Toc19279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- 20 -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_Toc16308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第一节  主动融入“一带一路”丝绸之路核心区节点建设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_Toc16308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- 21 -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_Toc12024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第二节  加大招商引资力度</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_Toc12024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- 21 -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2"/>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_Toc22082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黑体_GBK" w:cs="Times New Roman"/>
          <w:b w:val="0"/>
          <w:bCs w:val="0"/>
          <w:sz w:val="28"/>
          <w:szCs w:val="28"/>
          <w:lang w:val="en-US" w:eastAsia="zh-CN"/>
        </w:rPr>
        <w:t>第五章  加快构筑焉耆特色现代产业体系，推动经济高质量发展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_Toc22082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- 25 -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_Toc12759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第一节  大力发展富硒产业</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_Toc12759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- 25 -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_Toc22703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第二节  提升林果业优质水平</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_Toc22703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- 27 -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_Toc28046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第三节  大力发展农副产品精深加工</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_Toc28046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- 29 -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_Toc12328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第四节  全力抓好全域旅游</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_Toc12328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- 32 -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_Toc19559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第五节  积极谋划馕产业发展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_Toc19559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- 34 -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_Toc21619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第六节  提升酿酒葡萄品牌地位</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_Toc21619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- 36 -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_Toc19241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第七节  加快商贸物流建设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_Toc19241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- 38 -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_Toc2795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第八节  加快实施医疗康养服务</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_Toc2795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- 40 -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2"/>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_Toc11945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黑体_GBK" w:cs="Times New Roman"/>
          <w:b w:val="0"/>
          <w:bCs w:val="0"/>
          <w:sz w:val="28"/>
          <w:szCs w:val="28"/>
          <w:lang w:val="en-US" w:eastAsia="zh-CN"/>
        </w:rPr>
        <w:t>第六章  加强基础设施建设，持续扩大有效投资</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_Toc11945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- 43 -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_Toc28242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第一节  加大交通网络建设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_Toc28242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- 43 -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_Toc29404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第二节  完善水利基础设施建设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_Toc29404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- 44 -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_Toc3613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第三节  加大园区基础设施建设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_Toc3613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- 47 -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_Toc10096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第四节  加快光伏、矿产、煤层气、红柱石等资源开发</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_Toc10096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- 49 -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_Toc10531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第五节  加快新型基础设施建设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_Toc10531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- 51 -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2"/>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_Toc20023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黑体_GBK" w:cs="Times New Roman"/>
          <w:b w:val="0"/>
          <w:bCs w:val="0"/>
          <w:sz w:val="28"/>
          <w:szCs w:val="28"/>
          <w:lang w:val="en-US" w:eastAsia="zh-CN"/>
        </w:rPr>
        <w:t xml:space="preserve">第七章  </w:t>
      </w:r>
      <w:r>
        <w:rPr>
          <w:rFonts w:hint="default" w:ascii="Times New Roman" w:hAnsi="Times New Roman" w:eastAsia="方正黑体_GBK" w:cs="Times New Roman"/>
          <w:b w:val="0"/>
          <w:bCs w:val="0"/>
          <w:sz w:val="28"/>
          <w:szCs w:val="28"/>
          <w:lang w:val="zh-CN" w:eastAsia="zh-CN"/>
        </w:rPr>
        <w:t>坚持农业农村优先发展，</w:t>
      </w:r>
      <w:r>
        <w:rPr>
          <w:rFonts w:hint="default" w:ascii="Times New Roman" w:hAnsi="Times New Roman" w:eastAsia="方正黑体_GBK" w:cs="Times New Roman"/>
          <w:b w:val="0"/>
          <w:bCs w:val="0"/>
          <w:sz w:val="28"/>
          <w:szCs w:val="28"/>
          <w:lang w:val="en-US" w:eastAsia="zh-CN"/>
        </w:rPr>
        <w:t>深入</w:t>
      </w:r>
      <w:r>
        <w:rPr>
          <w:rFonts w:hint="default" w:ascii="Times New Roman" w:hAnsi="Times New Roman" w:eastAsia="方正黑体_GBK" w:cs="Times New Roman"/>
          <w:b w:val="0"/>
          <w:bCs w:val="0"/>
          <w:sz w:val="28"/>
          <w:szCs w:val="28"/>
          <w:lang w:val="zh-CN" w:eastAsia="zh-CN"/>
        </w:rPr>
        <w:t>实施乡村振兴战略</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_Toc20023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- 52 -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_Toc26335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第一节  落实落细农村“三项重点工作”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_Toc26335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- 52 -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_Toc12782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第二节  加快推进农业农村现代化</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_Toc12782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- 55 -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_Toc19360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第三节  脱贫攻坚与乡村振兴有效衔接</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_Toc19360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- 58 -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2"/>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_Toc8220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黑体_GBK" w:cs="Times New Roman"/>
          <w:b w:val="0"/>
          <w:bCs w:val="0"/>
          <w:sz w:val="28"/>
          <w:szCs w:val="28"/>
          <w:lang w:val="zh-CN" w:eastAsia="zh-CN"/>
        </w:rPr>
        <w:t>第八章</w:t>
      </w:r>
      <w:r>
        <w:rPr>
          <w:rFonts w:hint="default" w:ascii="Times New Roman" w:hAnsi="Times New Roman" w:eastAsia="方正黑体_GBK" w:cs="Times New Roman"/>
          <w:b w:val="0"/>
          <w:bCs w:val="0"/>
          <w:sz w:val="28"/>
          <w:szCs w:val="28"/>
          <w:lang w:val="en-US" w:eastAsia="zh-CN"/>
        </w:rPr>
        <w:t xml:space="preserve">  深化重点领域改革，为经济发展注入活力</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_Toc8220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- 59 -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_Toc18271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第一节  优化营商环境</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_Toc18271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- 59 -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_Toc1831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第二节  深化国资国企改革</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_Toc1831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- 59 -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_Toc31757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第三节  深化金融改革</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_Toc31757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- 60 -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_Toc16846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第四节  深化农村体制改革</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_Toc16846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- 61 -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_Toc32670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第五节  发展壮大民营经济</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_Toc32670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- 61 -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2"/>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_Toc25509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黑体_GBK" w:cs="Times New Roman"/>
          <w:b w:val="0"/>
          <w:bCs w:val="0"/>
          <w:sz w:val="28"/>
          <w:szCs w:val="28"/>
          <w:lang w:val="en-US" w:eastAsia="zh-CN"/>
        </w:rPr>
        <w:t>第九章  着力加强生态环境保护，提高生态文明水平</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_Toc25509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- 62 -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_Toc16155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第一节  持续深化污染防治和生态环境建设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_Toc16155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- 62 -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_Toc13899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第二节  发展生态经济将绿水青山转化为生产力</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_Toc13899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- 63 -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_Toc4983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第三节  推动绿色低碳发展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_Toc4983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- 64 -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2"/>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_Toc21869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黑体_GBK" w:cs="Times New Roman"/>
          <w:b w:val="0"/>
          <w:bCs w:val="0"/>
          <w:sz w:val="28"/>
          <w:szCs w:val="28"/>
          <w:lang w:val="en-US" w:eastAsia="zh-CN"/>
        </w:rPr>
        <w:t>第十章  持续保障和改善民生，不断增进人民福祉</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_Toc21869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- 64 -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_Toc24075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第一节  实施就业优先战略</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_Toc24075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- 65 -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_Toc2012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第二节  推进教育高质量发展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_Toc2012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- 66 -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_Toc29149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第三节  完善社会保障体系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_Toc29149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- 69 -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_Toc9779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第四节  推进健康焉耆建设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_Toc9779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- 70 -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_Toc30742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第五节  繁荣公共文化事业</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_Toc30742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- 72 -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_Toc9194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第六节  保障妇女、儿童、老年人和残疾人基本权益</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_Toc9194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- 74 -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2"/>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_Toc12644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黑体_GBK" w:cs="Times New Roman"/>
          <w:b w:val="0"/>
          <w:bCs w:val="0"/>
          <w:sz w:val="28"/>
          <w:szCs w:val="28"/>
          <w:lang w:val="en-US" w:eastAsia="zh-CN"/>
        </w:rPr>
        <w:t>第十一章  大力推动兵地融合发展，奋力实现共建共赢</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_Toc12644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- 75 -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_Toc13770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第一节  延伸优势，力促融合</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_Toc13770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- 75 -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_Toc17165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第二节  辐射带动，资源共享</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_Toc17165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- 76 -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_Toc10515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第三节  文化融合，增进友谊</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_Toc10515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- 76 -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2"/>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_Toc30210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黑体_GBK" w:cs="Times New Roman"/>
          <w:b w:val="0"/>
          <w:bCs w:val="0"/>
          <w:sz w:val="28"/>
          <w:szCs w:val="28"/>
          <w:lang w:val="en-US" w:eastAsia="zh-CN"/>
        </w:rPr>
        <w:t>第十二章  加大合作交流，持续提升对口援疆综合效益</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_Toc30210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- 76 -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_Toc22750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第一节  突出抓好干部人才援疆</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_Toc22750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- 77 -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_Toc16189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第二节  深化社会事业援疆</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_Toc16189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- 77 -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_Toc23421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第三节  着力促进各民族交往交流交融</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_Toc23421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- 78 -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_Toc25623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第四节  “飞地经济”合作共赢</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_Toc25623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- 78 -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2"/>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_Toc4069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黑体_GBK" w:cs="Times New Roman"/>
          <w:b w:val="0"/>
          <w:bCs w:val="0"/>
          <w:sz w:val="28"/>
          <w:szCs w:val="28"/>
          <w:lang w:val="en-US" w:eastAsia="zh-CN"/>
        </w:rPr>
        <w:t>第十三章  切实加强党的全面领导，确保规划顺利实施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_Toc4069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- 78 -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_Toc25237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第一节  加强组织领导</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_Toc25237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- 78 -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rPr>
          <w:rFonts w:hint="default" w:ascii="Times New Roman" w:hAnsi="Times New Roman" w:cs="Times New Roman"/>
          <w:sz w:val="28"/>
          <w:szCs w:val="28"/>
        </w:rPr>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_Toc13162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第二节  加大资金投入</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_Toc13162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- 79 -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pStyle w:val="13"/>
        <w:tabs>
          <w:tab w:val="right" w:leader="dot" w:pos="8844"/>
        </w:tabs>
      </w:pPr>
      <w:r>
        <w:rPr>
          <w:rFonts w:hint="default" w:ascii="Times New Roman" w:hAnsi="Times New Roman" w:eastAsia="方正小标宋_GBK" w:cs="Times New Roman"/>
          <w:b w:val="0"/>
          <w:bCs/>
          <w:sz w:val="28"/>
          <w:szCs w:val="28"/>
        </w:rPr>
        <w:fldChar w:fldCharType="begin"/>
      </w:r>
      <w:r>
        <w:rPr>
          <w:rFonts w:hint="default" w:ascii="Times New Roman" w:hAnsi="Times New Roman" w:eastAsia="方正小标宋_GBK" w:cs="Times New Roman"/>
          <w:b w:val="0"/>
          <w:bCs/>
          <w:sz w:val="28"/>
          <w:szCs w:val="28"/>
        </w:rPr>
        <w:instrText xml:space="preserve"> HYPERLINK \l _Toc17580 </w:instrText>
      </w:r>
      <w:r>
        <w:rPr>
          <w:rFonts w:hint="default" w:ascii="Times New Roman" w:hAnsi="Times New Roman" w:eastAsia="方正小标宋_GBK" w:cs="Times New Roman"/>
          <w:b w:val="0"/>
          <w:bCs/>
          <w:sz w:val="28"/>
          <w:szCs w:val="28"/>
        </w:rPr>
        <w:fldChar w:fldCharType="separate"/>
      </w:r>
      <w:r>
        <w:rPr>
          <w:rFonts w:hint="default" w:ascii="Times New Roman" w:hAnsi="Times New Roman" w:eastAsia="方正楷体_GBK" w:cs="Times New Roman"/>
          <w:b w:val="0"/>
          <w:bCs/>
          <w:sz w:val="28"/>
          <w:szCs w:val="28"/>
          <w:lang w:val="en-US" w:eastAsia="zh-CN"/>
        </w:rPr>
        <w:t>第三节  完善监督机制</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_Toc17580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- 79 -</w:t>
      </w:r>
      <w:r>
        <w:rPr>
          <w:rFonts w:hint="default" w:ascii="Times New Roman" w:hAnsi="Times New Roman" w:cs="Times New Roman"/>
          <w:sz w:val="28"/>
          <w:szCs w:val="28"/>
        </w:rPr>
        <w:fldChar w:fldCharType="end"/>
      </w:r>
      <w:r>
        <w:rPr>
          <w:rFonts w:hint="default" w:ascii="Times New Roman" w:hAnsi="Times New Roman" w:eastAsia="方正小标宋_GBK" w:cs="Times New Roman"/>
          <w:b w:val="0"/>
          <w:bCs/>
          <w:sz w:val="28"/>
          <w:szCs w:val="28"/>
        </w:rPr>
        <w:fldChar w:fldCharType="end"/>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0"/>
          <w:szCs w:val="40"/>
        </w:rPr>
      </w:pPr>
      <w:r>
        <w:rPr>
          <w:rFonts w:hint="default" w:ascii="Times New Roman" w:hAnsi="Times New Roman" w:eastAsia="方正小标宋_GBK" w:cs="Times New Roman"/>
          <w:b w:val="0"/>
          <w:bCs/>
          <w:szCs w:val="40"/>
        </w:rPr>
        <w:fldChar w:fldCharType="end"/>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0"/>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0"/>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0"/>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0"/>
          <w:szCs w:val="40"/>
          <w:lang w:eastAsia="zh-CN"/>
        </w:rPr>
      </w:pPr>
    </w:p>
    <w:p>
      <w:pPr>
        <w:pStyle w:val="6"/>
        <w:outlineLvl w:val="9"/>
        <w:rPr>
          <w:rFonts w:hint="eastAsia" w:ascii="方正小标宋_GBK" w:hAnsi="方正小标宋_GBK" w:eastAsia="方正小标宋_GBK" w:cs="方正小标宋_GBK"/>
          <w:b w:val="0"/>
          <w:bCs/>
          <w:sz w:val="40"/>
          <w:szCs w:val="40"/>
          <w:lang w:eastAsia="zh-CN"/>
        </w:rPr>
      </w:pPr>
    </w:p>
    <w:p>
      <w:pPr>
        <w:rPr>
          <w:rFonts w:hint="eastAsia" w:ascii="方正小标宋_GBK" w:hAnsi="方正小标宋_GBK" w:eastAsia="方正小标宋_GBK" w:cs="方正小标宋_GBK"/>
          <w:b w:val="0"/>
          <w:bCs/>
          <w:sz w:val="40"/>
          <w:szCs w:val="40"/>
          <w:lang w:eastAsia="zh-CN"/>
        </w:rPr>
      </w:pPr>
    </w:p>
    <w:p>
      <w:pPr>
        <w:pStyle w:val="6"/>
        <w:outlineLvl w:val="9"/>
        <w:rPr>
          <w:rFonts w:hint="eastAsia"/>
          <w:lang w:eastAsia="zh-CN"/>
        </w:rPr>
      </w:pPr>
    </w:p>
    <w:p>
      <w:pPr>
        <w:rPr>
          <w:rFonts w:hint="eastAsia"/>
          <w:lang w:eastAsia="zh-CN"/>
        </w:rPr>
      </w:pPr>
    </w:p>
    <w:p>
      <w:pPr>
        <w:pStyle w:val="6"/>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sz w:val="40"/>
          <w:szCs w:val="40"/>
        </w:rPr>
      </w:pPr>
      <w:bookmarkStart w:id="0" w:name="_Toc5172"/>
      <w:bookmarkStart w:id="1" w:name="_Toc28184"/>
      <w:bookmarkStart w:id="2" w:name="_Toc30894"/>
      <w:bookmarkStart w:id="3" w:name="_Toc13975"/>
      <w:bookmarkStart w:id="4" w:name="_Toc23185"/>
      <w:bookmarkStart w:id="5" w:name="_Toc30858"/>
      <w:r>
        <w:rPr>
          <w:rFonts w:hint="eastAsia" w:ascii="方正小标宋_GBK" w:hAnsi="方正小标宋_GBK" w:eastAsia="方正小标宋_GBK" w:cs="方正小标宋_GBK"/>
          <w:sz w:val="40"/>
          <w:szCs w:val="40"/>
        </w:rPr>
        <w:t>焉耆回族自治县国民经济和社会发展第十</w:t>
      </w:r>
      <w:r>
        <w:rPr>
          <w:rFonts w:hint="eastAsia" w:ascii="方正小标宋_GBK" w:hAnsi="方正小标宋_GBK" w:eastAsia="方正小标宋_GBK" w:cs="方正小标宋_GBK"/>
          <w:sz w:val="40"/>
          <w:szCs w:val="40"/>
          <w:lang w:eastAsia="zh-CN"/>
        </w:rPr>
        <w:t>四</w:t>
      </w:r>
      <w:r>
        <w:rPr>
          <w:rFonts w:hint="eastAsia" w:ascii="方正小标宋_GBK" w:hAnsi="方正小标宋_GBK" w:eastAsia="方正小标宋_GBK" w:cs="方正小标宋_GBK"/>
          <w:sz w:val="40"/>
          <w:szCs w:val="40"/>
        </w:rPr>
        <w:t>个五年规划</w:t>
      </w:r>
      <w:r>
        <w:rPr>
          <w:rFonts w:hint="eastAsia" w:ascii="方正小标宋_GBK" w:hAnsi="方正小标宋_GBK" w:eastAsia="方正小标宋_GBK" w:cs="方正小标宋_GBK"/>
          <w:sz w:val="40"/>
          <w:szCs w:val="40"/>
          <w:lang w:eastAsia="zh-CN"/>
        </w:rPr>
        <w:t>及</w:t>
      </w:r>
      <w:r>
        <w:rPr>
          <w:rFonts w:hint="eastAsia" w:ascii="方正小标宋_GBK" w:hAnsi="方正小标宋_GBK" w:eastAsia="方正小标宋_GBK" w:cs="方正小标宋_GBK"/>
          <w:sz w:val="40"/>
          <w:szCs w:val="40"/>
        </w:rPr>
        <w:t>二〇三五年远景目标纲要</w:t>
      </w:r>
      <w:bookmarkEnd w:id="0"/>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楷体_GBK" w:hAnsi="方正楷体_GBK" w:eastAsia="方正楷体_GBK" w:cs="方正楷体_GBK"/>
          <w:sz w:val="36"/>
          <w:szCs w:val="36"/>
        </w:rPr>
      </w:pPr>
      <w:bookmarkStart w:id="6" w:name="_Toc28868"/>
      <w:bookmarkStart w:id="7" w:name="_Toc23678"/>
      <w:bookmarkStart w:id="8" w:name="_Toc26152"/>
      <w:bookmarkStart w:id="9" w:name="_Toc6018"/>
      <w:bookmarkStart w:id="10" w:name="_Toc18133"/>
      <w:bookmarkStart w:id="11" w:name="_Toc27762"/>
      <w:r>
        <w:rPr>
          <w:rFonts w:hint="eastAsia" w:ascii="方正楷体_GBK" w:hAnsi="方正楷体_GBK" w:eastAsia="方正楷体_GBK" w:cs="方正楷体_GBK"/>
          <w:sz w:val="36"/>
          <w:szCs w:val="36"/>
        </w:rPr>
        <w:t>（</w:t>
      </w:r>
      <w:r>
        <w:rPr>
          <w:rFonts w:hint="eastAsia" w:ascii="方正楷体_GBK" w:hAnsi="方正楷体_GBK" w:eastAsia="方正楷体_GBK" w:cs="方正楷体_GBK"/>
          <w:sz w:val="36"/>
          <w:szCs w:val="36"/>
          <w:lang w:eastAsia="zh-CN"/>
        </w:rPr>
        <w:t>社会公开稿</w:t>
      </w:r>
      <w:r>
        <w:rPr>
          <w:rFonts w:hint="eastAsia" w:ascii="方正楷体_GBK" w:hAnsi="方正楷体_GBK" w:eastAsia="方正楷体_GBK" w:cs="方正楷体_GBK"/>
          <w:sz w:val="36"/>
          <w:szCs w:val="36"/>
        </w:rPr>
        <w:t>）</w:t>
      </w:r>
      <w:bookmarkEnd w:id="6"/>
      <w:bookmarkEnd w:id="7"/>
      <w:bookmarkEnd w:id="8"/>
      <w:bookmarkEnd w:id="9"/>
      <w:bookmarkEnd w:id="10"/>
      <w:bookmarkEnd w:id="11"/>
    </w:p>
    <w:p>
      <w:pPr>
        <w:rPr>
          <w:rFonts w:hint="eastAsia"/>
        </w:rPr>
      </w:pPr>
      <w:bookmarkStart w:id="12" w:name="_Toc20745"/>
      <w:bookmarkStart w:id="13" w:name="_Toc15063"/>
      <w:bookmarkStart w:id="14" w:name="_Toc17163"/>
    </w:p>
    <w:p>
      <w:pPr>
        <w:pStyle w:val="6"/>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方正黑体_GBK" w:hAnsi="方正黑体_GBK" w:eastAsia="方正黑体_GBK" w:cs="方正黑体_GBK"/>
          <w:b w:val="0"/>
          <w:bCs w:val="0"/>
          <w:sz w:val="31"/>
          <w:szCs w:val="31"/>
        </w:rPr>
      </w:pPr>
      <w:bookmarkStart w:id="15" w:name="_Toc11295"/>
      <w:bookmarkStart w:id="16" w:name="_Toc16848"/>
      <w:bookmarkStart w:id="17" w:name="_Toc5220"/>
      <w:bookmarkStart w:id="18" w:name="_Toc22233"/>
      <w:r>
        <w:rPr>
          <w:rFonts w:hint="eastAsia" w:ascii="方正黑体_GBK" w:hAnsi="方正黑体_GBK" w:eastAsia="方正黑体_GBK" w:cs="方正黑体_GBK"/>
          <w:b w:val="0"/>
          <w:bCs w:val="0"/>
          <w:sz w:val="31"/>
          <w:szCs w:val="31"/>
        </w:rPr>
        <w:t xml:space="preserve">第一章  </w:t>
      </w:r>
      <w:r>
        <w:rPr>
          <w:rFonts w:hint="eastAsia" w:ascii="方正黑体_GBK" w:hAnsi="方正黑体_GBK" w:eastAsia="方正黑体_GBK" w:cs="方正黑体_GBK"/>
          <w:b w:val="0"/>
          <w:bCs w:val="0"/>
          <w:sz w:val="31"/>
          <w:szCs w:val="31"/>
          <w:lang w:val="en-US" w:eastAsia="zh-CN"/>
        </w:rPr>
        <w:t>聚焦落实总目标，开启发展新征程</w:t>
      </w:r>
      <w:bookmarkEnd w:id="12"/>
      <w:bookmarkEnd w:id="13"/>
      <w:bookmarkEnd w:id="14"/>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rPr>
      </w:pPr>
      <w:bookmarkStart w:id="19" w:name="_Toc28656"/>
      <w:bookmarkStart w:id="20" w:name="_Toc27501"/>
      <w:bookmarkStart w:id="21" w:name="_Toc8071"/>
    </w:p>
    <w:p>
      <w:pPr>
        <w:pStyle w:val="7"/>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方正楷体_GBK" w:hAnsi="方正楷体_GBK" w:eastAsia="方正楷体_GBK" w:cs="方正楷体_GBK"/>
          <w:b w:val="0"/>
          <w:bCs/>
          <w:sz w:val="31"/>
          <w:szCs w:val="31"/>
        </w:rPr>
      </w:pPr>
      <w:bookmarkStart w:id="22" w:name="_Toc25856"/>
      <w:bookmarkStart w:id="23" w:name="_Toc17908"/>
      <w:bookmarkStart w:id="24" w:name="_Toc1459"/>
      <w:bookmarkStart w:id="25" w:name="_Toc28037"/>
      <w:bookmarkStart w:id="26" w:name="_Toc26068"/>
      <w:r>
        <w:rPr>
          <w:rFonts w:hint="eastAsia" w:ascii="方正楷体_GBK" w:hAnsi="方正楷体_GBK" w:eastAsia="方正楷体_GBK" w:cs="方正楷体_GBK"/>
          <w:b w:val="0"/>
          <w:bCs/>
          <w:sz w:val="31"/>
          <w:szCs w:val="31"/>
        </w:rPr>
        <w:t>第一节  “十三五”发展主要成就</w:t>
      </w:r>
      <w:bookmarkEnd w:id="19"/>
      <w:bookmarkEnd w:id="20"/>
      <w:bookmarkEnd w:id="21"/>
      <w:bookmarkEnd w:id="22"/>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十三五”时期，县委团结带领全县各族干部群众，坚持以习近平新时代中国特色社会主义思想为指导，牢牢扭住社会稳定和长治久安总目标，坚持新发展理念，坚持稳中求进总基调，“十三五”规划目标任务即将完成，全面建成小康社会胜利在望，各项工作站在了新的历史起点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b/>
          <w:bCs/>
          <w:sz w:val="31"/>
          <w:szCs w:val="31"/>
        </w:rPr>
        <w:t>——疫情防控夺取阶段性胜利。</w:t>
      </w:r>
      <w:r>
        <w:rPr>
          <w:rFonts w:hint="default" w:ascii="Times New Roman" w:hAnsi="Times New Roman" w:eastAsia="方正仿宋_GBK" w:cs="Times New Roman"/>
          <w:sz w:val="31"/>
          <w:szCs w:val="31"/>
        </w:rPr>
        <w:t>面对突如其来的严重疫情，全县各级党组织和广大党员干部群众闻令而动、全力奋战，坚决守好三道门，严格落实“四早”措施，常态化推进疫情防控八项监测预警机制，常态化落实全员核酸检测任务。严格落实企业“五统一”要求，稳步推进复工复产，确保打赢疫情防控攻坚战，坚决维护各族群众生命安全和身体健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b/>
          <w:bCs/>
          <w:sz w:val="31"/>
          <w:szCs w:val="31"/>
        </w:rPr>
        <w:t>——社会大局保持持续稳定。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b/>
          <w:bCs/>
          <w:sz w:val="31"/>
          <w:szCs w:val="31"/>
        </w:rPr>
        <w:t>——高质量发展动力不断增强。</w:t>
      </w:r>
      <w:r>
        <w:rPr>
          <w:rFonts w:hint="default" w:ascii="Times New Roman" w:hAnsi="Times New Roman" w:eastAsia="方正仿宋_GBK" w:cs="Times New Roman"/>
          <w:sz w:val="31"/>
          <w:szCs w:val="31"/>
        </w:rPr>
        <w:t>顺利完成“十三五”各项目标任务。2020年，预计完成地方生产总值65.2亿元，同比增长2.7%；规上工业增加值5.2亿元，增长31.5%；公共财政预算收入3.</w:t>
      </w:r>
      <w:r>
        <w:rPr>
          <w:rFonts w:hint="eastAsia" w:ascii="Times New Roman" w:hAnsi="Times New Roman" w:eastAsia="方正仿宋_GBK" w:cs="Times New Roman"/>
          <w:sz w:val="31"/>
          <w:szCs w:val="31"/>
          <w:lang w:val="en-US" w:eastAsia="zh-CN"/>
        </w:rPr>
        <w:t>61</w:t>
      </w:r>
      <w:r>
        <w:rPr>
          <w:rFonts w:hint="default" w:ascii="Times New Roman" w:hAnsi="Times New Roman" w:eastAsia="方正仿宋_GBK" w:cs="Times New Roman"/>
          <w:sz w:val="31"/>
          <w:szCs w:val="31"/>
        </w:rPr>
        <w:t>亿元，增长5.</w:t>
      </w:r>
      <w:r>
        <w:rPr>
          <w:rFonts w:hint="eastAsia" w:ascii="Times New Roman" w:hAnsi="Times New Roman" w:eastAsia="方正仿宋_GBK" w:cs="Times New Roman"/>
          <w:sz w:val="31"/>
          <w:szCs w:val="31"/>
          <w:lang w:val="en-US" w:eastAsia="zh-CN"/>
        </w:rPr>
        <w:t>6</w:t>
      </w:r>
      <w:r>
        <w:rPr>
          <w:rFonts w:hint="default" w:ascii="Times New Roman" w:hAnsi="Times New Roman" w:eastAsia="方正仿宋_GBK" w:cs="Times New Roman"/>
          <w:sz w:val="31"/>
          <w:szCs w:val="31"/>
        </w:rPr>
        <w:t>%；固定资产投资20.6亿元，增长10%；农牧民人均纯收入20263元，</w:t>
      </w:r>
      <w:r>
        <w:rPr>
          <w:rFonts w:hint="eastAsia" w:ascii="Times New Roman" w:hAnsi="Times New Roman" w:eastAsia="方正仿宋_GBK" w:cs="Times New Roman"/>
          <w:sz w:val="31"/>
          <w:szCs w:val="31"/>
          <w:lang w:eastAsia="zh-CN"/>
        </w:rPr>
        <w:t>增加</w:t>
      </w:r>
      <w:r>
        <w:rPr>
          <w:rFonts w:hint="eastAsia" w:ascii="Times New Roman" w:hAnsi="Times New Roman" w:eastAsia="方正仿宋_GBK" w:cs="Times New Roman"/>
          <w:sz w:val="31"/>
          <w:szCs w:val="31"/>
          <w:lang w:val="en-US" w:eastAsia="zh-CN"/>
        </w:rPr>
        <w:t>1062元</w:t>
      </w:r>
      <w:r>
        <w:rPr>
          <w:rFonts w:hint="default" w:ascii="Times New Roman" w:hAnsi="Times New Roman" w:eastAsia="方正仿宋_GBK" w:cs="Times New Roman"/>
          <w:sz w:val="31"/>
          <w:szCs w:val="31"/>
        </w:rPr>
        <w:t>。“十三五”时期，储备、新建和续建项目677个，总投资374.64亿元。乡村振兴战略深入实施，畜牧业发展成效明显，农业综合生产能力持续提高，“三红”产业、建材、农副产品加工、装备制造等产业发展提速增效，商贸物流、特色餐饮等三产服务业逐步壮大。河北巴州生态产业园“七通一平”加速推进，成功创建自治区新型工业化示范基地，入园企业达到86家，规上工业增加值累计完成19.4亿元，年均增长7.7%，工业经济形成多点支撑、循环发展的产业格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b/>
          <w:bCs/>
          <w:sz w:val="31"/>
          <w:szCs w:val="31"/>
        </w:rPr>
        <w:t>——改革开放不断向纵深推进。</w:t>
      </w:r>
      <w:r>
        <w:rPr>
          <w:rFonts w:hint="default" w:ascii="Times New Roman" w:hAnsi="Times New Roman" w:eastAsia="方正仿宋_GBK" w:cs="Times New Roman"/>
          <w:sz w:val="31"/>
          <w:szCs w:val="31"/>
        </w:rPr>
        <w:t>“放管服”改革持续深化，要素市场化配置改革、县域医共体改革稳步推进，顺利完成党政机构改革和纪检监察体制改革，农场企业改革、集体林权制度改革、供销合作社综合改革协同推进，“最多跑一次”事项达到824项，推动各项改革任务落地生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b/>
          <w:bCs/>
          <w:sz w:val="31"/>
          <w:szCs w:val="31"/>
        </w:rPr>
        <w:t>——人民生活更加殷实幸福。</w:t>
      </w:r>
      <w:r>
        <w:rPr>
          <w:rFonts w:hint="default" w:ascii="Times New Roman" w:hAnsi="Times New Roman" w:eastAsia="方正仿宋_GBK" w:cs="Times New Roman"/>
          <w:sz w:val="31"/>
          <w:szCs w:val="31"/>
        </w:rPr>
        <w:t>就业、社保、教育、医疗等民生工程成效显著，民生支出占财政支出83%以上。累计投入2.58亿元，实施扶贫项目188个，“两不愁三保障”全面实现，全县1427户4069名贫困人口全部脱贫，顺利通过国家脱贫攻坚普查验收。城镇登记失业率控制在2.3%以内，城镇新增就业1.5万人，转移农村富余劳动力7.2万人次，社会保险参保率达到99%以上。义务教育实现均衡发展，投入3.5亿元建成教育项目57个。医疗卫生体制综合改革和县域医共体试点县建设扎实推进，基层医疗机构服务能力显著提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b/>
          <w:bCs/>
          <w:sz w:val="31"/>
          <w:szCs w:val="31"/>
        </w:rPr>
        <w:t>——民族团结进步事业成效显著。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b/>
          <w:bCs/>
          <w:sz w:val="31"/>
          <w:szCs w:val="31"/>
        </w:rPr>
        <w:t>——宗教工作</w:t>
      </w:r>
      <w:r>
        <w:rPr>
          <w:rFonts w:hint="default" w:ascii="Times New Roman" w:hAnsi="Times New Roman" w:eastAsia="方正仿宋_GBK" w:cs="Times New Roman"/>
          <w:b/>
          <w:bCs/>
          <w:sz w:val="31"/>
          <w:szCs w:val="31"/>
          <w:lang w:eastAsia="zh-CN"/>
        </w:rPr>
        <w:t>紧密团结</w:t>
      </w:r>
      <w:r>
        <w:rPr>
          <w:rFonts w:hint="default" w:ascii="Times New Roman" w:hAnsi="Times New Roman" w:eastAsia="方正仿宋_GBK" w:cs="Times New Roman"/>
          <w:b/>
          <w:bCs/>
          <w:sz w:val="31"/>
          <w:szCs w:val="31"/>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b/>
          <w:bCs/>
          <w:sz w:val="31"/>
          <w:szCs w:val="31"/>
        </w:rPr>
        <w:t>——生态环境质量持续好转。</w:t>
      </w:r>
      <w:r>
        <w:rPr>
          <w:rFonts w:hint="default" w:ascii="Times New Roman" w:hAnsi="Times New Roman" w:eastAsia="方正仿宋_GBK" w:cs="Times New Roman"/>
          <w:sz w:val="31"/>
          <w:szCs w:val="31"/>
        </w:rPr>
        <w:t>持续打好蓝天、碧水、净土三大保卫战，狠抓中央环保督察反馈问题整改，实现了污染防治攻坚战既定目标。庭院经济、防护林建设和农村人居环境整治“三项重点工作”取得实效，累计建设庭院经济示范村18个示范户9692户，完成植树造林4.47万亩，改厕1.27万座，铺设农村公路742公里，农村人居环境明显改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b/>
          <w:bCs/>
          <w:sz w:val="31"/>
          <w:szCs w:val="31"/>
        </w:rPr>
        <w:t>——融合发展深入推进。</w:t>
      </w:r>
      <w:r>
        <w:rPr>
          <w:rFonts w:hint="default" w:ascii="Times New Roman" w:hAnsi="Times New Roman" w:eastAsia="方正仿宋_GBK" w:cs="Times New Roman"/>
          <w:sz w:val="31"/>
          <w:szCs w:val="31"/>
        </w:rPr>
        <w:t>持续深化兵地、军地、油地融合发展，区域发展合力更加凝聚。支持第二师二十七团加强维稳戍边能力建设，积极推进兵地经济、文化、社会、生态等领域深度融合。党管武装工作迈入规范化轨道，国防动员建设迈上新台阶，双拥共建水平全面提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b/>
          <w:bCs/>
          <w:sz w:val="31"/>
          <w:szCs w:val="31"/>
        </w:rPr>
        <w:t>——对口援疆不断升级加力。</w:t>
      </w:r>
      <w:r>
        <w:rPr>
          <w:rFonts w:hint="default" w:ascii="Times New Roman" w:hAnsi="Times New Roman" w:eastAsia="方正仿宋_GBK" w:cs="Times New Roman"/>
          <w:sz w:val="31"/>
          <w:szCs w:val="31"/>
        </w:rPr>
        <w:t>突出产业援疆、项目援疆、人才援疆，强化教育医疗人才“组团式”援疆，累计投入援疆资金2.1亿元，5大类20项援疆工程相继完工，援疆效益得到充分发挥，廊</w:t>
      </w:r>
      <w:r>
        <w:rPr>
          <w:rFonts w:hint="default" w:ascii="Times New Roman" w:hAnsi="Times New Roman" w:eastAsia="方正仿宋_GBK" w:cs="Times New Roman"/>
          <w:spacing w:val="-11"/>
          <w:sz w:val="31"/>
          <w:szCs w:val="31"/>
        </w:rPr>
        <w:t>坊焉耆两地交流交往交融日益密切，各族人民的友谊得到不断升华。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b/>
          <w:bCs/>
          <w:sz w:val="31"/>
          <w:szCs w:val="31"/>
          <w:lang w:eastAsia="zh-CN"/>
        </w:rPr>
        <w:t>——</w:t>
      </w:r>
      <w:r>
        <w:rPr>
          <w:rFonts w:hint="default" w:ascii="Times New Roman" w:hAnsi="Times New Roman" w:eastAsia="方正仿宋_GBK" w:cs="Times New Roman"/>
          <w:b/>
          <w:bCs/>
          <w:sz w:val="31"/>
          <w:szCs w:val="31"/>
        </w:rPr>
        <w:t>管党治党全面从严。</w:t>
      </w:r>
      <w:r>
        <w:rPr>
          <w:rFonts w:hint="default" w:ascii="Times New Roman" w:hAnsi="Times New Roman" w:eastAsia="方正仿宋_GBK" w:cs="Times New Roman"/>
          <w:sz w:val="31"/>
          <w:szCs w:val="31"/>
        </w:rPr>
        <w:t>深入学习贯彻习近平新时代中国特色社会主义思想，健全保障“两个维护”制度机制，持续加强政治忠诚教育，严守政治纪律和政治规矩，严格落实重大事项请示报告制度，全面加强和规范党内政治生活，建立健全“不忘初心、牢记使命”主题教育长效机制。坚持好干部标准和民族地区干部政治标准，着力打造忠诚干净担当的高素质干部人才队伍。树立“大抓基层”“大抓支部”的鲜明导向，基层党组织政治功能和组织力明显增强。持续传导全面从严治党压力，加强党风廉政建设和反腐败斗争，严格落实中央八项规定精神，制定15项减负措施，持续纠治“四风”，坚决整治形式主义、官僚主义等突出问题。全县存量案件消减、纪律震慑增强、突出问题减少。坚持严管与厚爱结合、激励与约束并重，营造出风清气正的良好政治生态。</w:t>
      </w: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rPr>
      </w:pPr>
      <w:bookmarkStart w:id="27" w:name="_Toc7371"/>
      <w:bookmarkStart w:id="28" w:name="_Toc31146"/>
      <w:bookmarkStart w:id="29" w:name="_Toc13778"/>
    </w:p>
    <w:p>
      <w:pPr>
        <w:pStyle w:val="7"/>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方正楷体_GBK" w:hAnsi="方正楷体_GBK" w:eastAsia="方正楷体_GBK" w:cs="方正楷体_GBK"/>
          <w:b w:val="0"/>
          <w:bCs/>
          <w:sz w:val="31"/>
          <w:szCs w:val="31"/>
        </w:rPr>
      </w:pPr>
      <w:bookmarkStart w:id="30" w:name="_Toc12348"/>
      <w:bookmarkStart w:id="31" w:name="_Toc32474"/>
      <w:bookmarkStart w:id="32" w:name="_Toc12417"/>
      <w:bookmarkStart w:id="33" w:name="_Toc1408"/>
      <w:bookmarkStart w:id="34" w:name="_Toc336"/>
      <w:r>
        <w:rPr>
          <w:rFonts w:hint="default" w:ascii="方正楷体_GBK" w:hAnsi="方正楷体_GBK" w:eastAsia="方正楷体_GBK" w:cs="方正楷体_GBK"/>
          <w:b w:val="0"/>
          <w:bCs/>
          <w:sz w:val="31"/>
          <w:szCs w:val="31"/>
        </w:rPr>
        <w:t>第二节  “十四五”时期发展面临的重大机遇</w:t>
      </w:r>
      <w:bookmarkEnd w:id="27"/>
      <w:bookmarkEnd w:id="28"/>
      <w:bookmarkEnd w:id="29"/>
      <w:bookmarkEnd w:id="30"/>
      <w:bookmarkEnd w:id="31"/>
      <w:bookmarkEnd w:id="32"/>
      <w:bookmarkEnd w:id="33"/>
      <w:bookmarkEnd w:id="3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b/>
          <w:bCs/>
          <w:sz w:val="31"/>
          <w:szCs w:val="31"/>
        </w:rPr>
        <w:t>——从国际看，</w:t>
      </w:r>
      <w:r>
        <w:rPr>
          <w:rFonts w:hint="default" w:ascii="Times New Roman" w:hAnsi="Times New Roman" w:eastAsia="方正仿宋_GBK" w:cs="Times New Roman"/>
          <w:sz w:val="31"/>
          <w:szCs w:val="31"/>
        </w:rPr>
        <w:t>当今世界正经历百年未有之大变局，新一轮科技革命和产业变革深入发展，和平与发展仍然是时代主题，人类命运共同体理念深入人心，全球新冠肺炎疫情大流行带来巨大变量，为我们在危机中育先机、于变局中开新局带来了重大机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b/>
          <w:bCs/>
          <w:sz w:val="31"/>
          <w:szCs w:val="31"/>
        </w:rPr>
        <w:t>——从国内看，</w:t>
      </w:r>
      <w:r>
        <w:rPr>
          <w:rFonts w:hint="default" w:ascii="Times New Roman" w:hAnsi="Times New Roman" w:eastAsia="方正仿宋_GBK" w:cs="Times New Roman"/>
          <w:sz w:val="31"/>
          <w:szCs w:val="31"/>
        </w:rPr>
        <w:t>当前和今后一个时期，我国发展仍然处于重要战略机遇期，经济长期向好，物质基础雄厚，人力资源丰富，市场空间广阔，国内需求潜力巨大，已转向高质量发展阶段。特别是国家实施国内国外双循环战略，一个以国内循环为主、国际国内互促的双循环发展新格局正在形成，发展具有多方面优势和条件，这给我们推动发展带来了众多机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b/>
          <w:bCs/>
          <w:sz w:val="31"/>
          <w:szCs w:val="31"/>
        </w:rPr>
        <w:t>——从疆内看，</w:t>
      </w:r>
      <w:r>
        <w:rPr>
          <w:rFonts w:hint="default" w:ascii="Times New Roman" w:hAnsi="Times New Roman" w:eastAsia="方正仿宋_GBK" w:cs="Times New Roman"/>
          <w:sz w:val="31"/>
          <w:szCs w:val="31"/>
        </w:rPr>
        <w:t>国家</w:t>
      </w:r>
      <w:r>
        <w:rPr>
          <w:rFonts w:hint="eastAsia" w:ascii="Times New Roman" w:hAnsi="Times New Roman" w:eastAsia="方正仿宋_GBK" w:cs="Times New Roman"/>
          <w:sz w:val="31"/>
          <w:szCs w:val="31"/>
          <w:lang w:eastAsia="zh-CN"/>
        </w:rPr>
        <w:t>“一带一路”倡议</w:t>
      </w:r>
      <w:r>
        <w:rPr>
          <w:rFonts w:hint="default" w:ascii="Times New Roman" w:hAnsi="Times New Roman" w:eastAsia="方正仿宋_GBK" w:cs="Times New Roman"/>
          <w:sz w:val="31"/>
          <w:szCs w:val="31"/>
        </w:rPr>
        <w:t>推进加速了新疆融入经济一体化进程，第三次中央新疆工作座谈会的召开更给新疆新时期新阶段的发展注入强大动力，新疆经济社会发展步入了新一轮上升周期，步入了增长速度最快、质量最好、效益最高的历史新阶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rPr>
          <w:rFonts w:hint="eastAsia" w:ascii="Times New Roman" w:hAnsi="Times New Roman" w:eastAsia="方正仿宋_GBK" w:cs="Times New Roman"/>
          <w:color w:val="auto"/>
          <w:spacing w:val="4"/>
          <w:sz w:val="31"/>
          <w:szCs w:val="31"/>
          <w:lang w:val="en-US" w:eastAsia="zh-CN"/>
        </w:rPr>
      </w:pPr>
      <w:r>
        <w:rPr>
          <w:rFonts w:hint="default" w:ascii="Times New Roman" w:hAnsi="Times New Roman" w:eastAsia="方正仿宋_GBK" w:cs="Times New Roman"/>
          <w:b/>
          <w:bCs/>
          <w:sz w:val="31"/>
          <w:szCs w:val="31"/>
        </w:rPr>
        <w:t>——从州内看，</w:t>
      </w:r>
      <w:r>
        <w:rPr>
          <w:rFonts w:hint="default" w:ascii="Times New Roman" w:hAnsi="Times New Roman" w:eastAsia="方正仿宋_GBK" w:cs="Times New Roman"/>
          <w:sz w:val="31"/>
          <w:szCs w:val="31"/>
        </w:rPr>
        <w:t>自治区党委对巴州提出“一区一中心一枢纽五基地”科学定位，出台一系列支持政策，解决了一批难点问题，充分体现了对巴州的高度重视和关心关怀，</w:t>
      </w:r>
      <w:r>
        <w:rPr>
          <w:rFonts w:hint="eastAsia" w:ascii="Times New Roman" w:hAnsi="Times New Roman" w:eastAsia="方正仿宋_GBK" w:cs="Times New Roman"/>
          <w:sz w:val="31"/>
          <w:szCs w:val="31"/>
          <w:lang w:eastAsia="zh-CN"/>
        </w:rPr>
        <w:t>按照</w:t>
      </w:r>
      <w:r>
        <w:rPr>
          <w:rFonts w:hint="eastAsia" w:ascii="Times New Roman" w:hAnsi="Times New Roman" w:eastAsia="方正仿宋_GBK" w:cs="Times New Roman"/>
          <w:color w:val="auto"/>
          <w:spacing w:val="4"/>
          <w:sz w:val="31"/>
          <w:szCs w:val="31"/>
          <w:lang w:val="en-US" w:eastAsia="zh-CN"/>
        </w:rPr>
        <w:t>州委对焉耆县提出的“巴州发展次中心城市”和“北四县中心城市”发展定位，更充分体现了自治州党委对焉耆县的关心关怀。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b/>
          <w:bCs/>
          <w:sz w:val="31"/>
          <w:szCs w:val="31"/>
        </w:rPr>
        <w:t>——从县内看，</w:t>
      </w:r>
      <w:r>
        <w:rPr>
          <w:rFonts w:hint="default" w:ascii="Times New Roman" w:hAnsi="Times New Roman" w:eastAsia="方正仿宋_GBK" w:cs="Times New Roman"/>
          <w:sz w:val="31"/>
          <w:szCs w:val="31"/>
        </w:rPr>
        <w:t>乌尉高速公路即将建成通车与吐库高速公路、G216国道、G314国道、南疆铁路多点汇集，形成新的区位交通优势、商贸优势和资源优势。</w:t>
      </w:r>
      <w:r>
        <w:rPr>
          <w:rFonts w:hint="eastAsia" w:ascii="Times New Roman" w:hAnsi="Times New Roman" w:eastAsia="方正仿宋_GBK" w:cs="Times New Roman"/>
          <w:color w:val="auto"/>
          <w:spacing w:val="4"/>
          <w:sz w:val="31"/>
          <w:szCs w:val="31"/>
          <w:lang w:val="en-US" w:eastAsia="zh-CN"/>
        </w:rPr>
        <w:t>县委提出了全力打造东扩南连“一核心五节点”和焉耆盆地“六个中心”规划建设思路，机遇与挑战并存，</w:t>
      </w:r>
      <w:r>
        <w:rPr>
          <w:rFonts w:hint="default" w:ascii="Times New Roman" w:hAnsi="Times New Roman" w:eastAsia="方正仿宋_GBK" w:cs="Times New Roman"/>
          <w:sz w:val="31"/>
          <w:szCs w:val="31"/>
        </w:rPr>
        <w:t>只要我们认清形势、把握大势，就一定能够战胜一切艰难险阻，夺取社会主义现代化建设新征程的决定性胜利！</w:t>
      </w:r>
    </w:p>
    <w:p>
      <w:pPr>
        <w:rPr>
          <w:rFonts w:hint="default"/>
          <w:lang w:val="en-US" w:eastAsia="zh-CN"/>
        </w:rPr>
      </w:pPr>
      <w:bookmarkStart w:id="35" w:name="_Toc2955"/>
      <w:bookmarkStart w:id="36" w:name="_Toc31207"/>
      <w:bookmarkStart w:id="37" w:name="_Toc26330"/>
      <w:bookmarkStart w:id="38" w:name="_Toc29608"/>
      <w:bookmarkStart w:id="39" w:name="_Toc30209"/>
      <w:bookmarkStart w:id="40" w:name="_Toc25211"/>
      <w:bookmarkStart w:id="41" w:name="_Toc32470"/>
      <w:bookmarkStart w:id="42" w:name="_Toc704"/>
    </w:p>
    <w:p>
      <w:pPr>
        <w:rPr>
          <w:rFonts w:hint="default"/>
          <w:lang w:val="en-US" w:eastAsia="zh-CN"/>
        </w:rPr>
      </w:pPr>
    </w:p>
    <w:p>
      <w:pPr>
        <w:pStyle w:val="7"/>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方正楷体_GBK" w:hAnsi="方正楷体_GBK" w:eastAsia="方正楷体_GBK" w:cs="方正楷体_GBK"/>
          <w:b w:val="0"/>
          <w:bCs/>
          <w:sz w:val="31"/>
          <w:szCs w:val="31"/>
          <w:lang w:val="en-US" w:eastAsia="zh-CN"/>
        </w:rPr>
      </w:pPr>
      <w:r>
        <w:rPr>
          <w:rFonts w:hint="default" w:ascii="方正楷体_GBK" w:hAnsi="方正楷体_GBK" w:eastAsia="方正楷体_GBK" w:cs="方正楷体_GBK"/>
          <w:b w:val="0"/>
          <w:bCs/>
          <w:sz w:val="31"/>
          <w:szCs w:val="31"/>
          <w:lang w:val="en-US" w:eastAsia="zh-CN"/>
        </w:rPr>
        <w:t>第三节  “十四五”时期面临的困难和挑战</w:t>
      </w:r>
      <w:bookmarkEnd w:id="35"/>
      <w:bookmarkEnd w:id="36"/>
      <w:bookmarkEnd w:id="37"/>
      <w:bookmarkEnd w:id="38"/>
      <w:bookmarkEnd w:id="39"/>
      <w:bookmarkEnd w:id="40"/>
      <w:bookmarkEnd w:id="41"/>
      <w:bookmarkEnd w:id="4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焉耆</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社会治理还存在短板和弱项。发展不平衡、不充分问题突出，工业基础仍然比较薄弱，产业链条发展水平还不高。民生保障存在短板，公共服务体系不健全，教育、医疗、住房等民生保障方面仍需加强，基础设施还需进一步完善。干部作风不实依然是最大的敌人，部分单位和个人工作韧劲和拼劲不足。我们一定要正视困难和不足，发扬斗争精神，采取有力举措，认真加以解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rPr>
          <w:rFonts w:hint="default" w:ascii="Times New Roman" w:hAnsi="Times New Roman" w:eastAsia="方正仿宋_GBK" w:cs="Times New Roman"/>
          <w:b/>
          <w:bCs/>
          <w:sz w:val="31"/>
          <w:szCs w:val="31"/>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黑体_GBK" w:hAnsi="方正黑体_GBK" w:eastAsia="方正黑体_GBK" w:cs="方正黑体_GBK"/>
          <w:b w:val="0"/>
          <w:bCs w:val="0"/>
          <w:sz w:val="31"/>
          <w:szCs w:val="31"/>
          <w:lang w:val="en-US" w:eastAsia="zh-CN"/>
        </w:rPr>
      </w:pPr>
      <w:bookmarkStart w:id="43" w:name="_Toc9068"/>
      <w:bookmarkStart w:id="44" w:name="_Toc22926"/>
      <w:bookmarkStart w:id="45" w:name="_Toc31067"/>
      <w:bookmarkStart w:id="46" w:name="_Toc26071"/>
      <w:bookmarkStart w:id="47" w:name="_Toc26356"/>
      <w:bookmarkStart w:id="48" w:name="_Toc20548"/>
      <w:bookmarkStart w:id="49" w:name="_Toc22532"/>
      <w:bookmarkStart w:id="50" w:name="_Toc27835"/>
      <w:r>
        <w:rPr>
          <w:rFonts w:hint="default" w:ascii="方正黑体_GBK" w:hAnsi="方正黑体_GBK" w:eastAsia="方正黑体_GBK" w:cs="方正黑体_GBK"/>
          <w:b w:val="0"/>
          <w:bCs w:val="0"/>
          <w:sz w:val="31"/>
          <w:szCs w:val="31"/>
          <w:lang w:val="en-US" w:eastAsia="zh-CN"/>
        </w:rPr>
        <w:t xml:space="preserve">第二章  </w:t>
      </w:r>
      <w:r>
        <w:rPr>
          <w:rFonts w:hint="eastAsia" w:ascii="方正黑体_GBK" w:hAnsi="方正黑体_GBK" w:eastAsia="方正黑体_GBK" w:cs="方正黑体_GBK"/>
          <w:b w:val="0"/>
          <w:bCs w:val="0"/>
          <w:sz w:val="31"/>
          <w:szCs w:val="31"/>
          <w:lang w:val="en-US" w:eastAsia="zh-CN"/>
        </w:rPr>
        <w:t>“</w:t>
      </w:r>
      <w:r>
        <w:rPr>
          <w:rFonts w:hint="default" w:ascii="方正黑体_GBK" w:hAnsi="方正黑体_GBK" w:eastAsia="方正黑体_GBK" w:cs="方正黑体_GBK"/>
          <w:b w:val="0"/>
          <w:bCs w:val="0"/>
          <w:sz w:val="31"/>
          <w:szCs w:val="31"/>
          <w:lang w:val="en-US" w:eastAsia="zh-CN"/>
        </w:rPr>
        <w:t>十四五”时期经济社会发展指导方针和主要目标</w:t>
      </w:r>
      <w:bookmarkEnd w:id="43"/>
      <w:bookmarkEnd w:id="44"/>
      <w:bookmarkEnd w:id="45"/>
      <w:bookmarkEnd w:id="46"/>
      <w:bookmarkEnd w:id="47"/>
      <w:bookmarkEnd w:id="48"/>
      <w:bookmarkEnd w:id="49"/>
      <w:bookmarkEnd w:id="50"/>
    </w:p>
    <w:p>
      <w:pPr>
        <w:rPr>
          <w:rFonts w:hint="default"/>
          <w:lang w:val="en-US" w:eastAsia="zh-CN"/>
        </w:rPr>
      </w:pPr>
      <w:bookmarkStart w:id="51" w:name="_Toc25585"/>
      <w:bookmarkStart w:id="52" w:name="_Toc4026"/>
      <w:bookmarkStart w:id="53" w:name="_Toc16652"/>
    </w:p>
    <w:p>
      <w:pPr>
        <w:pStyle w:val="7"/>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方正楷体_GBK" w:hAnsi="方正楷体_GBK" w:eastAsia="方正楷体_GBK" w:cs="方正楷体_GBK"/>
          <w:b w:val="0"/>
          <w:bCs/>
          <w:sz w:val="31"/>
          <w:szCs w:val="31"/>
          <w:lang w:val="en-US" w:eastAsia="zh-CN"/>
        </w:rPr>
      </w:pPr>
      <w:bookmarkStart w:id="54" w:name="_Toc11768"/>
      <w:bookmarkStart w:id="55" w:name="_Toc27215"/>
      <w:bookmarkStart w:id="56" w:name="_Toc4672"/>
      <w:bookmarkStart w:id="57" w:name="_Toc28637"/>
      <w:bookmarkStart w:id="58" w:name="_Toc118"/>
      <w:r>
        <w:rPr>
          <w:rFonts w:hint="default" w:ascii="方正楷体_GBK" w:hAnsi="方正楷体_GBK" w:eastAsia="方正楷体_GBK" w:cs="方正楷体_GBK"/>
          <w:b w:val="0"/>
          <w:bCs/>
          <w:sz w:val="31"/>
          <w:szCs w:val="31"/>
          <w:lang w:val="en-US" w:eastAsia="zh-CN"/>
        </w:rPr>
        <w:t>第一节  指导思想</w:t>
      </w:r>
      <w:bookmarkEnd w:id="51"/>
      <w:bookmarkEnd w:id="52"/>
      <w:bookmarkEnd w:id="53"/>
      <w:bookmarkEnd w:id="54"/>
      <w:bookmarkEnd w:id="55"/>
      <w:bookmarkEnd w:id="56"/>
      <w:bookmarkEnd w:id="57"/>
      <w:bookmarkEnd w:id="58"/>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高举中国特色社会主义伟大旗帜，深入学习贯彻党的十九大和十九届二中、三中、四中、五中全会精神，以习近平新时代中国特色社会主义思想为指导，深入学习贯彻习近平总书记关于新疆工作的重要讲话和重要指示批示精神，特别是在第三次中央新疆工作座谈会上的重要讲话精神，坚定不移贯彻新发展理念，坚持稳中求进工作总基调，完整准确贯彻新时代党的治疆方略，牢牢扭住新疆工作总目标，按照自治区党委“1+3”重点工作和自治州党委关于“建设焉耆盆地城市群中心”的工作安排，主动融入国内大循环、国内国际双循环相互促进的新发展格局和中巴经济走廊综合承载中心建设，</w:t>
      </w:r>
      <w:r>
        <w:rPr>
          <w:rFonts w:hint="eastAsia" w:ascii="Times New Roman" w:hAnsi="Times New Roman" w:eastAsia="方正仿宋_GBK" w:cs="Times New Roman"/>
          <w:sz w:val="31"/>
          <w:szCs w:val="31"/>
          <w:lang w:val="en-US" w:eastAsia="zh-CN"/>
        </w:rPr>
        <w:t>准备把握基础设施发展共性规律和个性特征，统筹存量和增量，聚焦“两新一重”基础设施，</w:t>
      </w:r>
      <w:r>
        <w:rPr>
          <w:rFonts w:hint="default" w:ascii="Times New Roman" w:hAnsi="Times New Roman" w:eastAsia="方正仿宋_GBK" w:cs="Times New Roman"/>
          <w:sz w:val="31"/>
          <w:szCs w:val="31"/>
          <w:lang w:val="en-US" w:eastAsia="zh-CN"/>
        </w:rPr>
        <w:t>加快东扩南连“一核心、五节点”和焉耆盆地“六个中心”规划建设，</w:t>
      </w:r>
      <w:r>
        <w:rPr>
          <w:rFonts w:hint="eastAsia" w:ascii="Times New Roman" w:hAnsi="Times New Roman" w:eastAsia="方正仿宋_GBK" w:cs="Times New Roman"/>
          <w:sz w:val="31"/>
          <w:szCs w:val="31"/>
          <w:lang w:val="en-US" w:eastAsia="zh-CN"/>
        </w:rPr>
        <w:t>按照系统谋划、共建共享、优化供给、创新驱动的原则，打造集约高效、经济适用、智能绿色、安全可靠的现代化基础设施体系，</w:t>
      </w:r>
      <w:r>
        <w:rPr>
          <w:rFonts w:hint="default" w:ascii="Times New Roman" w:hAnsi="Times New Roman" w:eastAsia="方正仿宋_GBK" w:cs="Times New Roman"/>
          <w:sz w:val="31"/>
          <w:szCs w:val="31"/>
          <w:lang w:val="en-US" w:eastAsia="zh-CN"/>
        </w:rPr>
        <w:t>进一步巩固提升发展优势，补齐发展短板，不断增强综合实力和竞争力，实现经济行稳致远、社会安定和谐，切实把焉耆打造成为更加重要的州域支撑、产业高地和市场枢纽，奋力谱写新时代中国特色社会主义焉耆新篇章。</w:t>
      </w:r>
    </w:p>
    <w:p>
      <w:pPr>
        <w:rPr>
          <w:rFonts w:hint="default"/>
          <w:lang w:val="en-US" w:eastAsia="zh-CN"/>
        </w:rPr>
      </w:pPr>
      <w:bookmarkStart w:id="59" w:name="_Toc22721"/>
      <w:bookmarkStart w:id="60" w:name="_Toc20876"/>
      <w:bookmarkStart w:id="61" w:name="_Toc30874"/>
    </w:p>
    <w:p>
      <w:pPr>
        <w:pStyle w:val="7"/>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方正楷体_GBK" w:hAnsi="方正楷体_GBK" w:eastAsia="方正楷体_GBK" w:cs="方正楷体_GBK"/>
          <w:b w:val="0"/>
          <w:bCs/>
          <w:sz w:val="31"/>
          <w:szCs w:val="31"/>
          <w:lang w:val="en-US" w:eastAsia="zh-CN"/>
        </w:rPr>
      </w:pPr>
      <w:bookmarkStart w:id="62" w:name="_Toc1141"/>
      <w:bookmarkStart w:id="63" w:name="_Toc5038"/>
      <w:bookmarkStart w:id="64" w:name="_Toc12126"/>
      <w:bookmarkStart w:id="65" w:name="_Toc19982"/>
      <w:bookmarkStart w:id="66" w:name="_Toc32504"/>
      <w:r>
        <w:rPr>
          <w:rFonts w:hint="default" w:ascii="方正楷体_GBK" w:hAnsi="方正楷体_GBK" w:eastAsia="方正楷体_GBK" w:cs="方正楷体_GBK"/>
          <w:b w:val="0"/>
          <w:bCs/>
          <w:sz w:val="31"/>
          <w:szCs w:val="31"/>
          <w:lang w:val="en-US" w:eastAsia="zh-CN"/>
        </w:rPr>
        <w:t>第二节  基本原则</w:t>
      </w:r>
      <w:bookmarkEnd w:id="59"/>
      <w:bookmarkEnd w:id="60"/>
      <w:bookmarkEnd w:id="61"/>
      <w:bookmarkEnd w:id="62"/>
      <w:bookmarkEnd w:id="63"/>
      <w:bookmarkEnd w:id="64"/>
      <w:bookmarkEnd w:id="65"/>
      <w:bookmarkEnd w:id="66"/>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lang w:val="en-US" w:eastAsia="zh-CN"/>
        </w:rPr>
      </w:pPr>
      <w:r>
        <w:rPr>
          <w:rFonts w:hint="default" w:ascii="Times New Roman" w:hAnsi="Times New Roman" w:eastAsia="方正仿宋_GBK" w:cs="Times New Roman"/>
          <w:sz w:val="31"/>
          <w:szCs w:val="31"/>
          <w:lang w:val="en-US" w:eastAsia="zh-CN"/>
        </w:rPr>
        <w:t>坚持党的全面领导，坚持新时代党的治疆方略，坚持以人民为中心，坚持新发展理念，坚持深化改革开放，坚持系统观念，坚持从焉耆实际出发。</w:t>
      </w:r>
    </w:p>
    <w:p>
      <w:pPr>
        <w:rPr>
          <w:rFonts w:hint="default"/>
          <w:lang w:val="en-US" w:eastAsia="zh-CN"/>
        </w:rPr>
      </w:pPr>
      <w:bookmarkStart w:id="67" w:name="_Toc4561"/>
      <w:bookmarkStart w:id="68" w:name="_Toc32082"/>
      <w:bookmarkStart w:id="69" w:name="_Toc19707"/>
      <w:bookmarkStart w:id="70" w:name="_Toc28051"/>
      <w:bookmarkStart w:id="71" w:name="_Toc28106"/>
      <w:bookmarkStart w:id="72" w:name="_Toc28126"/>
      <w:bookmarkStart w:id="73" w:name="_Toc27539"/>
    </w:p>
    <w:p>
      <w:pPr>
        <w:pStyle w:val="7"/>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楷体_GBK" w:hAnsi="方正楷体_GBK" w:eastAsia="方正楷体_GBK" w:cs="方正楷体_GBK"/>
          <w:b w:val="0"/>
          <w:bCs/>
          <w:sz w:val="31"/>
          <w:szCs w:val="31"/>
          <w:lang w:val="en-US" w:eastAsia="zh-CN"/>
        </w:rPr>
      </w:pPr>
      <w:bookmarkStart w:id="74" w:name="_Toc16053"/>
      <w:r>
        <w:rPr>
          <w:rFonts w:hint="default" w:ascii="方正楷体_GBK" w:hAnsi="方正楷体_GBK" w:eastAsia="方正楷体_GBK" w:cs="方正楷体_GBK"/>
          <w:b w:val="0"/>
          <w:bCs/>
          <w:sz w:val="31"/>
          <w:szCs w:val="31"/>
          <w:lang w:val="en-US" w:eastAsia="zh-CN"/>
        </w:rPr>
        <w:t>第三节  主要目标</w:t>
      </w:r>
      <w:bookmarkEnd w:id="67"/>
      <w:bookmarkEnd w:id="68"/>
      <w:bookmarkEnd w:id="69"/>
      <w:bookmarkEnd w:id="70"/>
      <w:bookmarkEnd w:id="71"/>
      <w:bookmarkEnd w:id="72"/>
      <w:bookmarkEnd w:id="73"/>
      <w:bookmarkEnd w:id="74"/>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经济发展取得新成效、改革开放迈出新步伐、民族团结实现新加强、社会文明得到新提高、生态文明步入新阶段、人民福祉得到新增进、社会稳定开创新局面、社会治理呈现新格局。焉耆盆地文化教育中心、医疗康养服务中心、农畜产品交易中心、农副产品精深加工中心、商贸物流中心、交通枢纽中心全面升级，区域影响力和辐射带动力大幅提高。</w:t>
      </w:r>
    </w:p>
    <w:p>
      <w:pPr>
        <w:pStyle w:val="2"/>
        <w:rPr>
          <w:rFonts w:hint="default"/>
          <w:lang w:val="en-US" w:eastAsia="zh-CN"/>
        </w:rPr>
      </w:pPr>
    </w:p>
    <w:p>
      <w:pPr>
        <w:pageBreakBefore w:val="0"/>
        <w:kinsoku/>
        <w:wordWrap/>
        <w:overflowPunct/>
        <w:topLinePunct w:val="0"/>
        <w:autoSpaceDE/>
        <w:autoSpaceDN/>
        <w:bidi w:val="0"/>
        <w:adjustRightInd/>
        <w:snapToGrid/>
        <w:spacing w:line="600" w:lineRule="exact"/>
        <w:ind w:left="0" w:leftChars="0" w:firstLine="0" w:firstLineChars="0"/>
        <w:jc w:val="center"/>
        <w:rPr>
          <w:rFonts w:hint="eastAsia" w:ascii="黑体" w:hAnsi="黑体" w:eastAsia="黑体"/>
          <w:b w:val="0"/>
          <w:bCs/>
          <w:color w:val="000000"/>
          <w:kern w:val="0"/>
          <w:sz w:val="32"/>
          <w:szCs w:val="32"/>
        </w:rPr>
      </w:pPr>
      <w:bookmarkStart w:id="75" w:name="_Toc20905"/>
      <w:r>
        <w:rPr>
          <w:rFonts w:hint="eastAsia" w:ascii="黑体" w:hAnsi="黑体" w:eastAsia="黑体"/>
          <w:b w:val="0"/>
          <w:bCs/>
          <w:color w:val="000000"/>
          <w:kern w:val="0"/>
          <w:sz w:val="32"/>
          <w:szCs w:val="32"/>
          <w:lang w:eastAsia="zh-CN"/>
        </w:rPr>
        <w:t>焉耆县</w:t>
      </w:r>
      <w:r>
        <w:rPr>
          <w:rFonts w:hint="eastAsia" w:ascii="黑体" w:hAnsi="黑体" w:eastAsia="黑体"/>
          <w:b w:val="0"/>
          <w:bCs/>
          <w:color w:val="000000"/>
          <w:kern w:val="0"/>
          <w:sz w:val="32"/>
          <w:szCs w:val="32"/>
        </w:rPr>
        <w:t>“十四五”经济社会发展主要</w:t>
      </w:r>
      <w:r>
        <w:rPr>
          <w:rFonts w:hint="eastAsia" w:ascii="黑体" w:hAnsi="黑体" w:eastAsia="黑体"/>
          <w:b w:val="0"/>
          <w:bCs/>
          <w:color w:val="000000"/>
          <w:kern w:val="0"/>
          <w:sz w:val="32"/>
          <w:szCs w:val="32"/>
          <w:lang w:val="en-US" w:eastAsia="zh-CN"/>
        </w:rPr>
        <w:t>指</w:t>
      </w:r>
      <w:r>
        <w:rPr>
          <w:rFonts w:hint="eastAsia" w:ascii="黑体" w:hAnsi="黑体" w:eastAsia="黑体"/>
          <w:b w:val="0"/>
          <w:bCs/>
          <w:color w:val="000000"/>
          <w:kern w:val="0"/>
          <w:sz w:val="32"/>
          <w:szCs w:val="32"/>
        </w:rPr>
        <w:t>标</w:t>
      </w:r>
    </w:p>
    <w:p>
      <w:pPr>
        <w:pStyle w:val="2"/>
        <w:rPr>
          <w:rFonts w:hint="eastAsia"/>
        </w:rPr>
      </w:pPr>
    </w:p>
    <w:tbl>
      <w:tblPr>
        <w:tblStyle w:val="14"/>
        <w:tblW w:w="94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5"/>
        <w:gridCol w:w="4486"/>
        <w:gridCol w:w="791"/>
        <w:gridCol w:w="832"/>
        <w:gridCol w:w="1732"/>
        <w:gridCol w:w="92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0" w:hRule="atLeast"/>
          <w:jc w:val="center"/>
        </w:trPr>
        <w:tc>
          <w:tcPr>
            <w:tcW w:w="7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Calibri" w:hAnsi="Calibri" w:eastAsia="宋体" w:cs="Times New Roman"/>
                <w:b/>
                <w:bCs/>
                <w:color w:val="auto"/>
                <w:sz w:val="18"/>
                <w:szCs w:val="18"/>
              </w:rPr>
            </w:pPr>
            <w:r>
              <w:rPr>
                <w:rFonts w:hint="eastAsia" w:ascii="Calibri" w:hAnsi="Calibri" w:eastAsia="宋体" w:cs="Times New Roman"/>
                <w:b/>
                <w:bCs/>
                <w:color w:val="auto"/>
                <w:sz w:val="18"/>
                <w:szCs w:val="18"/>
              </w:rPr>
              <w:t>类别</w:t>
            </w:r>
          </w:p>
        </w:tc>
        <w:tc>
          <w:tcPr>
            <w:tcW w:w="44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Calibri" w:hAnsi="Calibri" w:eastAsia="宋体" w:cs="Times New Roman"/>
                <w:b/>
                <w:bCs/>
                <w:color w:val="auto"/>
                <w:sz w:val="18"/>
                <w:szCs w:val="18"/>
              </w:rPr>
            </w:pPr>
            <w:r>
              <w:rPr>
                <w:rFonts w:hint="eastAsia" w:ascii="Calibri" w:hAnsi="Calibri" w:eastAsia="宋体" w:cs="Times New Roman"/>
                <w:b/>
                <w:bCs/>
                <w:color w:val="auto"/>
                <w:sz w:val="18"/>
                <w:szCs w:val="18"/>
              </w:rPr>
              <w:t>指 标</w:t>
            </w:r>
          </w:p>
        </w:tc>
        <w:tc>
          <w:tcPr>
            <w:tcW w:w="7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Calibri" w:hAnsi="Calibri" w:eastAsia="宋体" w:cs="Times New Roman"/>
                <w:b/>
                <w:bCs/>
                <w:color w:val="auto"/>
                <w:sz w:val="18"/>
                <w:szCs w:val="18"/>
              </w:rPr>
            </w:pPr>
            <w:r>
              <w:rPr>
                <w:rFonts w:hint="eastAsia" w:ascii="Calibri" w:hAnsi="Calibri" w:eastAsia="宋体" w:cs="Times New Roman"/>
                <w:b/>
                <w:bCs/>
                <w:color w:val="auto"/>
                <w:sz w:val="18"/>
                <w:szCs w:val="18"/>
              </w:rPr>
              <w:t>2020年</w:t>
            </w:r>
          </w:p>
        </w:tc>
        <w:tc>
          <w:tcPr>
            <w:tcW w:w="8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Calibri" w:hAnsi="Calibri" w:eastAsia="宋体" w:cs="Times New Roman"/>
                <w:b/>
                <w:bCs/>
                <w:color w:val="auto"/>
                <w:sz w:val="18"/>
                <w:szCs w:val="18"/>
                <w:lang w:val="en-US" w:eastAsia="zh-CN"/>
              </w:rPr>
            </w:pPr>
            <w:r>
              <w:rPr>
                <w:rFonts w:hint="eastAsia" w:ascii="Calibri" w:hAnsi="Calibri" w:eastAsia="宋体" w:cs="Times New Roman"/>
                <w:b/>
                <w:bCs/>
                <w:color w:val="auto"/>
                <w:sz w:val="18"/>
                <w:szCs w:val="18"/>
              </w:rPr>
              <w:t>2025年</w:t>
            </w:r>
          </w:p>
        </w:tc>
        <w:tc>
          <w:tcPr>
            <w:tcW w:w="1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Calibri" w:hAnsi="Calibri" w:eastAsia="宋体" w:cs="Times New Roman"/>
                <w:b/>
                <w:bCs/>
                <w:color w:val="auto"/>
                <w:sz w:val="18"/>
                <w:szCs w:val="18"/>
                <w:lang w:val="en-US" w:eastAsia="zh-CN"/>
              </w:rPr>
            </w:pPr>
            <w:r>
              <w:rPr>
                <w:rFonts w:hint="eastAsia" w:ascii="Calibri" w:hAnsi="Calibri" w:eastAsia="宋体" w:cs="Times New Roman"/>
                <w:b/>
                <w:bCs/>
                <w:color w:val="auto"/>
                <w:sz w:val="18"/>
                <w:szCs w:val="18"/>
              </w:rPr>
              <w:t>年均</w:t>
            </w:r>
            <w:r>
              <w:rPr>
                <w:rFonts w:hint="eastAsia" w:ascii="Calibri" w:hAnsi="Calibri" w:cs="Times New Roman"/>
                <w:b/>
                <w:bCs/>
                <w:color w:val="auto"/>
                <w:sz w:val="18"/>
                <w:szCs w:val="18"/>
                <w:lang w:val="en-US" w:eastAsia="zh-CN"/>
              </w:rPr>
              <w:t>/累计</w:t>
            </w:r>
          </w:p>
        </w:tc>
        <w:tc>
          <w:tcPr>
            <w:tcW w:w="9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Calibri" w:hAnsi="Calibri" w:eastAsia="宋体" w:cs="Times New Roman"/>
                <w:b/>
                <w:bCs/>
                <w:color w:val="auto"/>
                <w:sz w:val="18"/>
                <w:szCs w:val="18"/>
              </w:rPr>
            </w:pPr>
            <w:r>
              <w:rPr>
                <w:rFonts w:hint="eastAsia" w:ascii="Calibri" w:hAnsi="Calibri" w:eastAsia="宋体" w:cs="Times New Roman"/>
                <w:b/>
                <w:bCs/>
                <w:color w:val="auto"/>
                <w:sz w:val="18"/>
                <w:szCs w:val="18"/>
              </w:rPr>
              <w:t>属性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Calibri" w:hAnsi="Calibri" w:eastAsia="宋体" w:cs="Times New Roman"/>
                <w:b/>
                <w:color w:val="auto"/>
                <w:spacing w:val="-11"/>
                <w:sz w:val="21"/>
                <w:szCs w:val="21"/>
              </w:rPr>
            </w:pPr>
            <w:r>
              <w:rPr>
                <w:rFonts w:hint="eastAsia" w:ascii="Calibri" w:hAnsi="Calibri" w:eastAsia="宋体" w:cs="Times New Roman"/>
                <w:b/>
                <w:color w:val="auto"/>
                <w:spacing w:val="-11"/>
                <w:sz w:val="21"/>
                <w:szCs w:val="21"/>
              </w:rPr>
              <w:t>经</w:t>
            </w:r>
            <w:r>
              <w:rPr>
                <w:rFonts w:hint="eastAsia" w:ascii="Calibri" w:hAnsi="Calibri" w:cs="Times New Roman"/>
                <w:b/>
                <w:color w:val="auto"/>
                <w:spacing w:val="-11"/>
                <w:sz w:val="21"/>
                <w:szCs w:val="21"/>
                <w:lang w:val="en-US" w:eastAsia="zh-CN"/>
              </w:rPr>
              <w:t xml:space="preserve"> </w:t>
            </w:r>
            <w:r>
              <w:rPr>
                <w:rFonts w:hint="eastAsia" w:ascii="Calibri" w:hAnsi="Calibri" w:eastAsia="宋体" w:cs="Times New Roman"/>
                <w:b/>
                <w:color w:val="auto"/>
                <w:spacing w:val="-11"/>
                <w:sz w:val="21"/>
                <w:szCs w:val="21"/>
              </w:rPr>
              <w:t>济</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Calibri" w:hAnsi="Calibri" w:eastAsia="宋体" w:cs="Times New Roman"/>
                <w:b/>
                <w:color w:val="auto"/>
                <w:spacing w:val="-11"/>
                <w:sz w:val="21"/>
                <w:szCs w:val="21"/>
              </w:rPr>
            </w:pPr>
            <w:r>
              <w:rPr>
                <w:rFonts w:hint="eastAsia" w:ascii="Calibri" w:hAnsi="Calibri" w:eastAsia="宋体" w:cs="Times New Roman"/>
                <w:b/>
                <w:color w:val="auto"/>
                <w:spacing w:val="-11"/>
                <w:sz w:val="21"/>
                <w:szCs w:val="21"/>
              </w:rPr>
              <w:t>发</w:t>
            </w:r>
            <w:r>
              <w:rPr>
                <w:rFonts w:hint="eastAsia" w:ascii="Calibri" w:hAnsi="Calibri" w:cs="Times New Roman"/>
                <w:b/>
                <w:color w:val="auto"/>
                <w:spacing w:val="-11"/>
                <w:sz w:val="21"/>
                <w:szCs w:val="21"/>
                <w:lang w:val="en-US" w:eastAsia="zh-CN"/>
              </w:rPr>
              <w:t xml:space="preserve"> </w:t>
            </w:r>
            <w:r>
              <w:rPr>
                <w:rFonts w:hint="eastAsia" w:ascii="Calibri" w:hAnsi="Calibri" w:eastAsia="宋体" w:cs="Times New Roman"/>
                <w:b/>
                <w:color w:val="auto"/>
                <w:spacing w:val="-11"/>
                <w:sz w:val="21"/>
                <w:szCs w:val="21"/>
              </w:rPr>
              <w:t>展</w:t>
            </w:r>
          </w:p>
        </w:tc>
        <w:tc>
          <w:tcPr>
            <w:tcW w:w="44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Calibri" w:hAnsi="Calibri" w:eastAsia="宋体" w:cs="Times New Roman"/>
                <w:color w:val="auto"/>
                <w:spacing w:val="-11"/>
                <w:sz w:val="21"/>
                <w:szCs w:val="21"/>
              </w:rPr>
            </w:pPr>
            <w:r>
              <w:rPr>
                <w:rFonts w:hint="eastAsia" w:ascii="Calibri" w:hAnsi="Calibri" w:eastAsia="宋体" w:cs="Times New Roman"/>
                <w:color w:val="auto"/>
                <w:spacing w:val="-11"/>
                <w:sz w:val="21"/>
                <w:szCs w:val="21"/>
              </w:rPr>
              <w:t>1.地</w:t>
            </w:r>
            <w:r>
              <w:rPr>
                <w:rFonts w:hint="eastAsia" w:ascii="Calibri" w:hAnsi="Calibri" w:cs="Times New Roman"/>
                <w:color w:val="auto"/>
                <w:spacing w:val="-11"/>
                <w:sz w:val="21"/>
                <w:szCs w:val="21"/>
                <w:lang w:eastAsia="zh-CN"/>
              </w:rPr>
              <w:t>方</w:t>
            </w:r>
            <w:r>
              <w:rPr>
                <w:rFonts w:hint="eastAsia" w:ascii="Calibri" w:hAnsi="Calibri" w:eastAsia="宋体" w:cs="Times New Roman"/>
                <w:color w:val="auto"/>
                <w:spacing w:val="-11"/>
                <w:sz w:val="21"/>
                <w:szCs w:val="21"/>
              </w:rPr>
              <w:t>生产总值</w:t>
            </w:r>
            <w:r>
              <w:rPr>
                <w:rFonts w:hint="eastAsia" w:ascii="Calibri" w:hAnsi="Calibri" w:cs="Times New Roman"/>
                <w:color w:val="auto"/>
                <w:spacing w:val="-11"/>
                <w:sz w:val="21"/>
                <w:szCs w:val="21"/>
                <w:lang w:val="en-US" w:eastAsia="zh-CN"/>
              </w:rPr>
              <w:t>增长</w:t>
            </w:r>
            <w:r>
              <w:rPr>
                <w:rFonts w:hint="eastAsia" w:ascii="Calibri" w:hAnsi="Calibri" w:eastAsia="宋体" w:cs="Times New Roman"/>
                <w:color w:val="auto"/>
                <w:spacing w:val="-11"/>
                <w:sz w:val="21"/>
                <w:szCs w:val="21"/>
              </w:rPr>
              <w:t>（</w:t>
            </w:r>
            <w:r>
              <w:rPr>
                <w:rFonts w:hint="eastAsia" w:ascii="Calibri" w:hAnsi="Calibri" w:cs="Times New Roman"/>
                <w:color w:val="auto"/>
                <w:spacing w:val="-11"/>
                <w:sz w:val="21"/>
                <w:szCs w:val="21"/>
                <w:lang w:val="en-US" w:eastAsia="zh-CN"/>
              </w:rPr>
              <w:t>%</w:t>
            </w:r>
            <w:r>
              <w:rPr>
                <w:rFonts w:hint="eastAsia" w:ascii="Calibri" w:hAnsi="Calibri" w:eastAsia="宋体" w:cs="Times New Roman"/>
                <w:color w:val="auto"/>
                <w:spacing w:val="-11"/>
                <w:sz w:val="21"/>
                <w:szCs w:val="21"/>
              </w:rPr>
              <w:t>）</w:t>
            </w:r>
          </w:p>
        </w:tc>
        <w:tc>
          <w:tcPr>
            <w:tcW w:w="7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11"/>
                <w:sz w:val="21"/>
                <w:szCs w:val="21"/>
                <w:lang w:eastAsia="zh-CN"/>
              </w:rPr>
            </w:pPr>
            <w:r>
              <w:rPr>
                <w:rFonts w:hint="eastAsia" w:cs="Times New Roman"/>
                <w:color w:val="auto"/>
                <w:spacing w:val="-11"/>
                <w:sz w:val="21"/>
                <w:szCs w:val="21"/>
                <w:lang w:val="en-US" w:eastAsia="zh-CN"/>
              </w:rPr>
              <w:t>66.3</w:t>
            </w:r>
          </w:p>
        </w:tc>
        <w:tc>
          <w:tcPr>
            <w:tcW w:w="8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11"/>
                <w:sz w:val="21"/>
                <w:szCs w:val="21"/>
                <w:lang w:val="en-US" w:eastAsia="zh-CN"/>
              </w:rPr>
            </w:pPr>
            <w:r>
              <w:rPr>
                <w:rFonts w:hint="eastAsia" w:cs="Times New Roman"/>
                <w:color w:val="auto"/>
                <w:spacing w:val="-11"/>
                <w:sz w:val="21"/>
                <w:szCs w:val="21"/>
                <w:lang w:val="en-US" w:eastAsia="zh-CN"/>
              </w:rPr>
              <w:t>—</w:t>
            </w:r>
          </w:p>
        </w:tc>
        <w:tc>
          <w:tcPr>
            <w:tcW w:w="1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Calibri" w:hAnsi="Calibri" w:eastAsia="宋体" w:cs="Times New Roman"/>
                <w:color w:val="auto"/>
                <w:spacing w:val="-11"/>
                <w:sz w:val="21"/>
                <w:szCs w:val="21"/>
                <w:lang w:val="en-US" w:eastAsia="zh-CN"/>
              </w:rPr>
            </w:pPr>
            <w:r>
              <w:rPr>
                <w:rFonts w:hint="eastAsia" w:ascii="Calibri" w:hAnsi="Calibri" w:cs="Times New Roman"/>
                <w:color w:val="auto"/>
                <w:spacing w:val="-11"/>
                <w:sz w:val="21"/>
                <w:szCs w:val="21"/>
                <w:lang w:val="en-US" w:eastAsia="zh-CN"/>
              </w:rPr>
              <w:t>保持在合理区间、各年度视情况提出</w:t>
            </w:r>
          </w:p>
        </w:tc>
        <w:tc>
          <w:tcPr>
            <w:tcW w:w="9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Calibri" w:hAnsi="Calibri" w:eastAsia="宋体" w:cs="Times New Roman"/>
                <w:color w:val="auto"/>
                <w:spacing w:val="-11"/>
                <w:sz w:val="21"/>
                <w:szCs w:val="21"/>
              </w:rPr>
            </w:pPr>
            <w:r>
              <w:rPr>
                <w:rFonts w:hint="eastAsia" w:ascii="Calibri" w:hAnsi="Calibri" w:eastAsia="宋体" w:cs="Times New Roman"/>
                <w:color w:val="auto"/>
                <w:spacing w:val="-11"/>
                <w:sz w:val="21"/>
                <w:szCs w:val="21"/>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72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Calibri" w:hAnsi="Calibri" w:eastAsia="宋体" w:cs="Times New Roman"/>
                <w:b/>
                <w:color w:val="auto"/>
                <w:spacing w:val="-11"/>
                <w:sz w:val="21"/>
                <w:szCs w:val="21"/>
              </w:rPr>
            </w:pPr>
          </w:p>
        </w:tc>
        <w:tc>
          <w:tcPr>
            <w:tcW w:w="44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Calibri" w:hAnsi="Calibri" w:eastAsia="宋体" w:cs="Times New Roman"/>
                <w:color w:val="auto"/>
                <w:spacing w:val="-11"/>
                <w:sz w:val="21"/>
                <w:szCs w:val="21"/>
              </w:rPr>
            </w:pPr>
            <w:r>
              <w:rPr>
                <w:rFonts w:hint="eastAsia" w:ascii="Calibri" w:hAnsi="Calibri" w:eastAsia="宋体" w:cs="Times New Roman"/>
                <w:color w:val="auto"/>
                <w:spacing w:val="-11"/>
                <w:sz w:val="21"/>
                <w:szCs w:val="21"/>
                <w:highlight w:val="none"/>
              </w:rPr>
              <w:t>2.全员劳动生产率</w:t>
            </w:r>
            <w:r>
              <w:rPr>
                <w:rFonts w:hint="eastAsia" w:ascii="Calibri" w:hAnsi="Calibri" w:eastAsia="宋体" w:cs="Times New Roman"/>
                <w:color w:val="auto"/>
                <w:spacing w:val="-11"/>
                <w:sz w:val="21"/>
                <w:szCs w:val="21"/>
                <w:highlight w:val="none"/>
                <w:lang w:val="en-US" w:eastAsia="zh-CN"/>
              </w:rPr>
              <w:t>增长</w:t>
            </w:r>
            <w:r>
              <w:rPr>
                <w:rFonts w:hint="eastAsia" w:ascii="Calibri" w:hAnsi="Calibri" w:eastAsia="宋体" w:cs="Times New Roman"/>
                <w:color w:val="auto"/>
                <w:spacing w:val="-11"/>
                <w:sz w:val="21"/>
                <w:szCs w:val="21"/>
                <w:highlight w:val="none"/>
              </w:rPr>
              <w:t>（</w:t>
            </w:r>
            <w:r>
              <w:rPr>
                <w:rFonts w:hint="eastAsia" w:ascii="Calibri" w:hAnsi="Calibri" w:eastAsia="宋体" w:cs="Times New Roman"/>
                <w:color w:val="auto"/>
                <w:spacing w:val="-11"/>
                <w:sz w:val="21"/>
                <w:szCs w:val="21"/>
                <w:highlight w:val="none"/>
                <w:lang w:val="en-US" w:eastAsia="zh-CN"/>
              </w:rPr>
              <w:t>%</w:t>
            </w:r>
            <w:r>
              <w:rPr>
                <w:rFonts w:hint="eastAsia" w:ascii="Calibri" w:hAnsi="Calibri" w:eastAsia="宋体" w:cs="Times New Roman"/>
                <w:color w:val="auto"/>
                <w:spacing w:val="-11"/>
                <w:sz w:val="21"/>
                <w:szCs w:val="21"/>
                <w:highlight w:val="none"/>
              </w:rPr>
              <w:t>）</w:t>
            </w:r>
          </w:p>
        </w:tc>
        <w:tc>
          <w:tcPr>
            <w:tcW w:w="7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11"/>
                <w:sz w:val="21"/>
                <w:szCs w:val="21"/>
              </w:rPr>
            </w:pPr>
            <w:r>
              <w:rPr>
                <w:rFonts w:hint="eastAsia" w:cs="Times New Roman"/>
                <w:color w:val="auto"/>
                <w:spacing w:val="-11"/>
                <w:sz w:val="21"/>
                <w:szCs w:val="21"/>
                <w:lang w:val="en-US" w:eastAsia="zh-CN"/>
              </w:rPr>
              <w:t>—</w:t>
            </w:r>
          </w:p>
        </w:tc>
        <w:tc>
          <w:tcPr>
            <w:tcW w:w="8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11"/>
                <w:sz w:val="21"/>
                <w:szCs w:val="21"/>
                <w:lang w:val="en-US" w:eastAsia="zh-CN"/>
              </w:rPr>
            </w:pPr>
            <w:r>
              <w:rPr>
                <w:rFonts w:hint="eastAsia" w:cs="Times New Roman"/>
                <w:color w:val="auto"/>
                <w:spacing w:val="-11"/>
                <w:sz w:val="21"/>
                <w:szCs w:val="21"/>
                <w:lang w:val="en-US" w:eastAsia="zh-CN"/>
              </w:rPr>
              <w:t>—</w:t>
            </w:r>
          </w:p>
        </w:tc>
        <w:tc>
          <w:tcPr>
            <w:tcW w:w="1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Calibri" w:hAnsi="Calibri" w:eastAsia="宋体" w:cs="Times New Roman"/>
                <w:color w:val="auto"/>
                <w:spacing w:val="-11"/>
                <w:sz w:val="21"/>
                <w:szCs w:val="21"/>
                <w:lang w:val="en-US" w:eastAsia="zh-CN"/>
              </w:rPr>
            </w:pPr>
            <w:r>
              <w:rPr>
                <w:rFonts w:hint="eastAsia" w:ascii="Calibri" w:hAnsi="Calibri" w:cs="Times New Roman"/>
                <w:color w:val="auto"/>
                <w:spacing w:val="-11"/>
                <w:sz w:val="21"/>
                <w:szCs w:val="21"/>
                <w:lang w:val="en-US" w:eastAsia="zh-CN"/>
              </w:rPr>
              <w:t>高于GDP增长</w:t>
            </w:r>
          </w:p>
        </w:tc>
        <w:tc>
          <w:tcPr>
            <w:tcW w:w="9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Calibri" w:hAnsi="Calibri" w:eastAsia="宋体" w:cs="Times New Roman"/>
                <w:color w:val="auto"/>
                <w:spacing w:val="-11"/>
                <w:sz w:val="21"/>
                <w:szCs w:val="21"/>
              </w:rPr>
            </w:pPr>
            <w:r>
              <w:rPr>
                <w:rFonts w:hint="eastAsia" w:ascii="Calibri" w:hAnsi="Calibri" w:eastAsia="宋体" w:cs="Times New Roman"/>
                <w:color w:val="auto"/>
                <w:spacing w:val="-11"/>
                <w:sz w:val="21"/>
                <w:szCs w:val="21"/>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72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Calibri" w:hAnsi="Calibri" w:eastAsia="宋体" w:cs="Times New Roman"/>
                <w:b/>
                <w:color w:val="auto"/>
                <w:spacing w:val="-11"/>
                <w:sz w:val="21"/>
                <w:szCs w:val="21"/>
              </w:rPr>
            </w:pPr>
          </w:p>
        </w:tc>
        <w:tc>
          <w:tcPr>
            <w:tcW w:w="44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Calibri" w:hAnsi="Calibri" w:eastAsia="宋体" w:cs="Times New Roman"/>
                <w:color w:val="auto"/>
                <w:spacing w:val="-11"/>
                <w:sz w:val="21"/>
                <w:szCs w:val="21"/>
              </w:rPr>
            </w:pPr>
            <w:r>
              <w:rPr>
                <w:rFonts w:hint="eastAsia" w:ascii="Calibri" w:hAnsi="Calibri" w:cs="Times New Roman"/>
                <w:color w:val="auto"/>
                <w:spacing w:val="-11"/>
                <w:sz w:val="21"/>
                <w:szCs w:val="21"/>
                <w:lang w:val="en-US" w:eastAsia="zh-CN"/>
              </w:rPr>
              <w:t>3</w:t>
            </w:r>
            <w:r>
              <w:rPr>
                <w:rFonts w:hint="eastAsia" w:ascii="Calibri" w:hAnsi="Calibri" w:eastAsia="宋体" w:cs="Times New Roman"/>
                <w:color w:val="auto"/>
                <w:spacing w:val="-11"/>
                <w:sz w:val="21"/>
                <w:szCs w:val="21"/>
              </w:rPr>
              <w:t>.常住人口城镇化率（%）</w:t>
            </w:r>
          </w:p>
        </w:tc>
        <w:tc>
          <w:tcPr>
            <w:tcW w:w="7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11"/>
                <w:sz w:val="21"/>
                <w:szCs w:val="21"/>
                <w:lang w:val="en-US" w:eastAsia="zh-CN"/>
              </w:rPr>
            </w:pPr>
            <w:r>
              <w:rPr>
                <w:rFonts w:hint="eastAsia" w:cs="Times New Roman"/>
                <w:color w:val="auto"/>
                <w:spacing w:val="-11"/>
                <w:sz w:val="21"/>
                <w:szCs w:val="21"/>
                <w:lang w:val="en-US" w:eastAsia="zh-CN"/>
              </w:rPr>
              <w:t>46.18</w:t>
            </w:r>
          </w:p>
        </w:tc>
        <w:tc>
          <w:tcPr>
            <w:tcW w:w="8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11"/>
                <w:sz w:val="21"/>
                <w:szCs w:val="21"/>
              </w:rPr>
            </w:pPr>
            <w:r>
              <w:rPr>
                <w:rFonts w:hint="eastAsia" w:cs="Times New Roman"/>
                <w:color w:val="auto"/>
                <w:spacing w:val="-11"/>
                <w:sz w:val="21"/>
                <w:szCs w:val="21"/>
                <w:lang w:val="en-US" w:eastAsia="zh-CN"/>
              </w:rPr>
              <w:t>49.21</w:t>
            </w:r>
          </w:p>
        </w:tc>
        <w:tc>
          <w:tcPr>
            <w:tcW w:w="1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Calibri" w:hAnsi="Calibri" w:eastAsia="宋体" w:cs="Times New Roman"/>
                <w:color w:val="auto"/>
                <w:spacing w:val="-11"/>
                <w:sz w:val="21"/>
                <w:szCs w:val="21"/>
                <w:lang w:val="en-US" w:eastAsia="zh-CN"/>
              </w:rPr>
            </w:pPr>
            <w:r>
              <w:rPr>
                <w:rFonts w:hint="eastAsia" w:cs="Times New Roman"/>
                <w:color w:val="auto"/>
                <w:spacing w:val="-11"/>
                <w:sz w:val="21"/>
                <w:szCs w:val="21"/>
                <w:lang w:val="en-US" w:eastAsia="zh-CN"/>
              </w:rPr>
              <w:t>—</w:t>
            </w:r>
          </w:p>
        </w:tc>
        <w:tc>
          <w:tcPr>
            <w:tcW w:w="9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Calibri" w:hAnsi="Calibri" w:eastAsia="宋体" w:cs="Times New Roman"/>
                <w:color w:val="auto"/>
                <w:spacing w:val="-11"/>
                <w:sz w:val="21"/>
                <w:szCs w:val="21"/>
              </w:rPr>
            </w:pPr>
            <w:r>
              <w:rPr>
                <w:rFonts w:hint="eastAsia" w:ascii="Calibri" w:hAnsi="Calibri" w:eastAsia="宋体" w:cs="Times New Roman"/>
                <w:color w:val="auto"/>
                <w:spacing w:val="-11"/>
                <w:sz w:val="21"/>
                <w:szCs w:val="21"/>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72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Calibri" w:hAnsi="Calibri" w:eastAsia="宋体" w:cs="Times New Roman"/>
                <w:b/>
                <w:color w:val="auto"/>
                <w:spacing w:val="-11"/>
                <w:sz w:val="21"/>
                <w:szCs w:val="21"/>
              </w:rPr>
            </w:pPr>
            <w:r>
              <w:rPr>
                <w:rFonts w:hint="eastAsia" w:ascii="Calibri" w:hAnsi="Calibri" w:eastAsia="宋体" w:cs="Times New Roman"/>
                <w:b/>
                <w:color w:val="auto"/>
                <w:spacing w:val="-11"/>
                <w:sz w:val="21"/>
                <w:szCs w:val="21"/>
              </w:rPr>
              <w:t>创</w:t>
            </w:r>
            <w:r>
              <w:rPr>
                <w:rFonts w:hint="eastAsia" w:ascii="Calibri" w:hAnsi="Calibri" w:cs="Times New Roman"/>
                <w:b/>
                <w:color w:val="auto"/>
                <w:spacing w:val="-11"/>
                <w:sz w:val="21"/>
                <w:szCs w:val="21"/>
                <w:lang w:val="en-US" w:eastAsia="zh-CN"/>
              </w:rPr>
              <w:t xml:space="preserve"> </w:t>
            </w:r>
            <w:r>
              <w:rPr>
                <w:rFonts w:hint="eastAsia" w:ascii="Calibri" w:hAnsi="Calibri" w:eastAsia="宋体" w:cs="Times New Roman"/>
                <w:b/>
                <w:color w:val="auto"/>
                <w:spacing w:val="-11"/>
                <w:sz w:val="21"/>
                <w:szCs w:val="21"/>
              </w:rPr>
              <w:t>新</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Calibri" w:hAnsi="Calibri" w:eastAsia="宋体" w:cs="Times New Roman"/>
                <w:b/>
                <w:color w:val="auto"/>
                <w:spacing w:val="-11"/>
                <w:sz w:val="21"/>
                <w:szCs w:val="21"/>
              </w:rPr>
            </w:pPr>
            <w:r>
              <w:rPr>
                <w:rFonts w:hint="eastAsia" w:ascii="Calibri" w:hAnsi="Calibri" w:eastAsia="宋体" w:cs="Times New Roman"/>
                <w:b/>
                <w:color w:val="auto"/>
                <w:spacing w:val="-11"/>
                <w:sz w:val="21"/>
                <w:szCs w:val="21"/>
              </w:rPr>
              <w:t>驱</w:t>
            </w:r>
            <w:r>
              <w:rPr>
                <w:rFonts w:hint="eastAsia" w:ascii="Calibri" w:hAnsi="Calibri" w:cs="Times New Roman"/>
                <w:b/>
                <w:color w:val="auto"/>
                <w:spacing w:val="-11"/>
                <w:sz w:val="21"/>
                <w:szCs w:val="21"/>
                <w:lang w:val="en-US" w:eastAsia="zh-CN"/>
              </w:rPr>
              <w:t xml:space="preserve"> </w:t>
            </w:r>
            <w:r>
              <w:rPr>
                <w:rFonts w:hint="eastAsia" w:ascii="Calibri" w:hAnsi="Calibri" w:eastAsia="宋体" w:cs="Times New Roman"/>
                <w:b/>
                <w:color w:val="auto"/>
                <w:spacing w:val="-11"/>
                <w:sz w:val="21"/>
                <w:szCs w:val="21"/>
              </w:rPr>
              <w:t>动</w:t>
            </w:r>
          </w:p>
        </w:tc>
        <w:tc>
          <w:tcPr>
            <w:tcW w:w="44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Calibri" w:hAnsi="Calibri" w:eastAsia="宋体" w:cs="Times New Roman"/>
                <w:color w:val="000000" w:themeColor="text1"/>
                <w:spacing w:val="-11"/>
                <w:sz w:val="21"/>
                <w:szCs w:val="21"/>
                <w14:textFill>
                  <w14:solidFill>
                    <w14:schemeClr w14:val="tx1"/>
                  </w14:solidFill>
                </w14:textFill>
              </w:rPr>
            </w:pPr>
            <w:r>
              <w:rPr>
                <w:rFonts w:hint="eastAsia" w:ascii="Calibri" w:hAnsi="Calibri" w:cs="Times New Roman"/>
                <w:color w:val="000000" w:themeColor="text1"/>
                <w:spacing w:val="-11"/>
                <w:sz w:val="21"/>
                <w:szCs w:val="21"/>
                <w:lang w:val="en-US" w:eastAsia="zh-CN"/>
                <w14:textFill>
                  <w14:solidFill>
                    <w14:schemeClr w14:val="tx1"/>
                  </w14:solidFill>
                </w14:textFill>
              </w:rPr>
              <w:t>4</w:t>
            </w:r>
            <w:r>
              <w:rPr>
                <w:rFonts w:hint="eastAsia" w:ascii="Calibri" w:hAnsi="Calibri" w:eastAsia="宋体" w:cs="Times New Roman"/>
                <w:color w:val="000000" w:themeColor="text1"/>
                <w:spacing w:val="-11"/>
                <w:sz w:val="21"/>
                <w:szCs w:val="21"/>
                <w14:textFill>
                  <w14:solidFill>
                    <w14:schemeClr w14:val="tx1"/>
                  </w14:solidFill>
                </w14:textFill>
              </w:rPr>
              <w:t>.研发经费投入占地区生产总值比例（%）</w:t>
            </w:r>
          </w:p>
        </w:tc>
        <w:tc>
          <w:tcPr>
            <w:tcW w:w="7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pacing w:val="-11"/>
                <w:sz w:val="21"/>
                <w:szCs w:val="21"/>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0.71</w:t>
            </w:r>
          </w:p>
        </w:tc>
        <w:tc>
          <w:tcPr>
            <w:tcW w:w="8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spacing w:val="-11"/>
                <w:sz w:val="21"/>
                <w:szCs w:val="21"/>
                <w:lang w:eastAsia="zh-CN"/>
                <w14:textFill>
                  <w14:solidFill>
                    <w14:schemeClr w14:val="tx1"/>
                  </w14:solidFill>
                </w14:textFill>
              </w:rPr>
            </w:pPr>
            <w:r>
              <w:rPr>
                <w:rFonts w:hint="eastAsia" w:cs="Times New Roman"/>
                <w:color w:val="000000" w:themeColor="text1"/>
                <w:spacing w:val="-11"/>
                <w:sz w:val="21"/>
                <w:szCs w:val="21"/>
                <w:lang w:val="en-US" w:eastAsia="zh-CN"/>
                <w14:textFill>
                  <w14:solidFill>
                    <w14:schemeClr w14:val="tx1"/>
                  </w14:solidFill>
                </w14:textFill>
              </w:rPr>
              <w:t>0.81</w:t>
            </w:r>
          </w:p>
        </w:tc>
        <w:tc>
          <w:tcPr>
            <w:tcW w:w="1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Calibri" w:hAnsi="Calibri" w:eastAsia="宋体" w:cs="Times New Roman"/>
                <w:color w:val="auto"/>
                <w:spacing w:val="-11"/>
                <w:sz w:val="21"/>
                <w:szCs w:val="21"/>
              </w:rPr>
            </w:pPr>
            <w:r>
              <w:rPr>
                <w:rFonts w:hint="default" w:ascii="Times New Roman" w:hAnsi="Times New Roman" w:eastAsia="宋体" w:cs="Times New Roman"/>
                <w:color w:val="auto"/>
                <w:spacing w:val="-11"/>
                <w:sz w:val="21"/>
                <w:szCs w:val="21"/>
              </w:rPr>
              <w:t>—</w:t>
            </w:r>
          </w:p>
        </w:tc>
        <w:tc>
          <w:tcPr>
            <w:tcW w:w="9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Calibri" w:hAnsi="Calibri" w:eastAsia="宋体" w:cs="Times New Roman"/>
                <w:color w:val="auto"/>
                <w:spacing w:val="-11"/>
                <w:sz w:val="21"/>
                <w:szCs w:val="21"/>
              </w:rPr>
            </w:pPr>
            <w:r>
              <w:rPr>
                <w:rFonts w:hint="eastAsia" w:ascii="Calibri" w:hAnsi="Calibri" w:eastAsia="宋体" w:cs="Times New Roman"/>
                <w:color w:val="auto"/>
                <w:spacing w:val="-11"/>
                <w:sz w:val="21"/>
                <w:szCs w:val="21"/>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72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Calibri" w:hAnsi="Calibri" w:eastAsia="宋体" w:cs="Times New Roman"/>
                <w:b/>
                <w:color w:val="auto"/>
                <w:spacing w:val="-11"/>
                <w:sz w:val="21"/>
                <w:szCs w:val="21"/>
              </w:rPr>
            </w:pPr>
          </w:p>
        </w:tc>
        <w:tc>
          <w:tcPr>
            <w:tcW w:w="448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Calibri" w:hAnsi="Calibri" w:eastAsia="宋体" w:cs="Times New Roman"/>
                <w:color w:val="auto"/>
                <w:spacing w:val="-11"/>
                <w:sz w:val="21"/>
                <w:szCs w:val="21"/>
              </w:rPr>
            </w:pPr>
            <w:r>
              <w:rPr>
                <w:rFonts w:hint="eastAsia" w:ascii="Calibri" w:hAnsi="Calibri" w:cs="Times New Roman"/>
                <w:color w:val="auto"/>
                <w:spacing w:val="-11"/>
                <w:sz w:val="21"/>
                <w:szCs w:val="21"/>
                <w:lang w:val="en-US" w:eastAsia="zh-CN"/>
              </w:rPr>
              <w:t>5</w:t>
            </w:r>
            <w:r>
              <w:rPr>
                <w:rFonts w:hint="eastAsia" w:ascii="Calibri" w:hAnsi="Calibri" w:eastAsia="宋体" w:cs="Times New Roman"/>
                <w:color w:val="auto"/>
                <w:spacing w:val="-11"/>
                <w:sz w:val="21"/>
                <w:szCs w:val="21"/>
              </w:rPr>
              <w:t>.</w:t>
            </w:r>
            <w:r>
              <w:rPr>
                <w:rFonts w:hint="eastAsia" w:ascii="Calibri" w:hAnsi="Calibri" w:cs="Times New Roman"/>
                <w:color w:val="auto"/>
                <w:spacing w:val="-11"/>
                <w:sz w:val="21"/>
                <w:szCs w:val="21"/>
                <w:lang w:val="en-US" w:eastAsia="zh-CN"/>
              </w:rPr>
              <w:t>规模以上工业企业生产设备数字化率</w:t>
            </w:r>
            <w:r>
              <w:rPr>
                <w:rFonts w:hint="eastAsia" w:ascii="Calibri" w:hAnsi="Calibri" w:eastAsia="宋体" w:cs="Times New Roman"/>
                <w:color w:val="auto"/>
                <w:spacing w:val="-11"/>
                <w:sz w:val="21"/>
                <w:szCs w:val="21"/>
              </w:rPr>
              <w:t>（%）</w:t>
            </w:r>
          </w:p>
        </w:tc>
        <w:tc>
          <w:tcPr>
            <w:tcW w:w="7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11"/>
                <w:sz w:val="21"/>
                <w:szCs w:val="21"/>
                <w:lang w:val="en-US" w:eastAsia="zh-CN"/>
              </w:rPr>
            </w:pPr>
            <w:r>
              <w:rPr>
                <w:rFonts w:hint="default" w:ascii="Times New Roman" w:hAnsi="Times New Roman" w:eastAsia="宋体" w:cs="Times New Roman"/>
                <w:color w:val="auto"/>
                <w:spacing w:val="-11"/>
                <w:sz w:val="21"/>
                <w:szCs w:val="21"/>
              </w:rPr>
              <w:t>—</w:t>
            </w:r>
          </w:p>
        </w:tc>
        <w:tc>
          <w:tcPr>
            <w:tcW w:w="8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11"/>
                <w:sz w:val="21"/>
                <w:szCs w:val="21"/>
                <w:lang w:val="en-US" w:eastAsia="zh-CN"/>
              </w:rPr>
            </w:pPr>
            <w:r>
              <w:rPr>
                <w:rFonts w:hint="eastAsia" w:cs="Times New Roman"/>
                <w:color w:val="auto"/>
                <w:spacing w:val="-11"/>
                <w:sz w:val="21"/>
                <w:szCs w:val="21"/>
                <w:lang w:val="en-US" w:eastAsia="zh-CN"/>
              </w:rPr>
              <w:t>45</w:t>
            </w:r>
          </w:p>
        </w:tc>
        <w:tc>
          <w:tcPr>
            <w:tcW w:w="17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Calibri" w:hAnsi="Calibri" w:eastAsia="宋体" w:cs="Times New Roman"/>
                <w:color w:val="auto"/>
                <w:spacing w:val="-11"/>
                <w:sz w:val="21"/>
                <w:szCs w:val="21"/>
              </w:rPr>
            </w:pPr>
            <w:r>
              <w:rPr>
                <w:rFonts w:hint="default" w:ascii="Times New Roman" w:hAnsi="Times New Roman" w:eastAsia="宋体" w:cs="Times New Roman"/>
                <w:color w:val="auto"/>
                <w:spacing w:val="-11"/>
                <w:sz w:val="21"/>
                <w:szCs w:val="21"/>
              </w:rPr>
              <w:t>—</w:t>
            </w:r>
          </w:p>
        </w:tc>
        <w:tc>
          <w:tcPr>
            <w:tcW w:w="92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Calibri" w:hAnsi="Calibri" w:eastAsia="宋体" w:cs="Times New Roman"/>
                <w:color w:val="auto"/>
                <w:spacing w:val="-11"/>
                <w:sz w:val="21"/>
                <w:szCs w:val="21"/>
              </w:rPr>
            </w:pPr>
            <w:r>
              <w:rPr>
                <w:rFonts w:hint="eastAsia" w:ascii="Calibri" w:hAnsi="Calibri" w:eastAsia="宋体" w:cs="Times New Roman"/>
                <w:color w:val="auto"/>
                <w:spacing w:val="-11"/>
                <w:sz w:val="21"/>
                <w:szCs w:val="21"/>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Calibri" w:hAnsi="Calibri" w:eastAsia="宋体" w:cs="Times New Roman"/>
                <w:b/>
                <w:color w:val="auto"/>
                <w:spacing w:val="-11"/>
                <w:sz w:val="21"/>
                <w:szCs w:val="21"/>
              </w:rPr>
            </w:pPr>
            <w:r>
              <w:rPr>
                <w:rFonts w:hint="eastAsia" w:ascii="Calibri" w:hAnsi="Calibri" w:eastAsia="宋体" w:cs="Times New Roman"/>
                <w:b/>
                <w:color w:val="auto"/>
                <w:spacing w:val="-11"/>
                <w:sz w:val="21"/>
                <w:szCs w:val="21"/>
              </w:rPr>
              <w:t>民</w:t>
            </w:r>
            <w:r>
              <w:rPr>
                <w:rFonts w:hint="eastAsia" w:ascii="Calibri" w:hAnsi="Calibri" w:cs="Times New Roman"/>
                <w:b/>
                <w:color w:val="auto"/>
                <w:spacing w:val="-11"/>
                <w:sz w:val="21"/>
                <w:szCs w:val="21"/>
                <w:lang w:val="en-US" w:eastAsia="zh-CN"/>
              </w:rPr>
              <w:t xml:space="preserve"> </w:t>
            </w:r>
            <w:r>
              <w:rPr>
                <w:rFonts w:hint="eastAsia" w:ascii="Calibri" w:hAnsi="Calibri" w:eastAsia="宋体" w:cs="Times New Roman"/>
                <w:b/>
                <w:color w:val="auto"/>
                <w:spacing w:val="-11"/>
                <w:sz w:val="21"/>
                <w:szCs w:val="21"/>
              </w:rPr>
              <w:t>生</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Calibri" w:hAnsi="Calibri" w:eastAsia="宋体" w:cs="Times New Roman"/>
                <w:b/>
                <w:color w:val="auto"/>
                <w:spacing w:val="-11"/>
                <w:sz w:val="21"/>
                <w:szCs w:val="21"/>
              </w:rPr>
            </w:pPr>
            <w:r>
              <w:rPr>
                <w:rFonts w:hint="eastAsia" w:ascii="Calibri" w:hAnsi="Calibri" w:eastAsia="宋体" w:cs="Times New Roman"/>
                <w:b/>
                <w:color w:val="auto"/>
                <w:spacing w:val="-11"/>
                <w:sz w:val="21"/>
                <w:szCs w:val="21"/>
              </w:rPr>
              <w:t>福</w:t>
            </w:r>
            <w:r>
              <w:rPr>
                <w:rFonts w:hint="eastAsia" w:ascii="Calibri" w:hAnsi="Calibri" w:cs="Times New Roman"/>
                <w:b/>
                <w:color w:val="auto"/>
                <w:spacing w:val="-11"/>
                <w:sz w:val="21"/>
                <w:szCs w:val="21"/>
                <w:lang w:val="en-US" w:eastAsia="zh-CN"/>
              </w:rPr>
              <w:t xml:space="preserve"> </w:t>
            </w:r>
            <w:r>
              <w:rPr>
                <w:rFonts w:hint="eastAsia" w:ascii="Calibri" w:hAnsi="Calibri" w:eastAsia="宋体" w:cs="Times New Roman"/>
                <w:b/>
                <w:color w:val="auto"/>
                <w:spacing w:val="-11"/>
                <w:sz w:val="21"/>
                <w:szCs w:val="21"/>
              </w:rPr>
              <w:t>祉</w:t>
            </w:r>
          </w:p>
        </w:tc>
        <w:tc>
          <w:tcPr>
            <w:tcW w:w="44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rPr>
                <w:rFonts w:cs="Times New Roman"/>
                <w:color w:val="auto"/>
                <w:spacing w:val="-11"/>
                <w:sz w:val="21"/>
                <w:szCs w:val="21"/>
                <w:highlight w:val="none"/>
              </w:rPr>
            </w:pPr>
            <w:r>
              <w:rPr>
                <w:rFonts w:hint="eastAsia" w:ascii="Calibri" w:hAnsi="Calibri" w:cs="Times New Roman"/>
                <w:color w:val="auto"/>
                <w:sz w:val="21"/>
                <w:szCs w:val="21"/>
                <w:highlight w:val="none"/>
                <w:lang w:val="en-US" w:eastAsia="zh-CN"/>
              </w:rPr>
              <w:t>6</w:t>
            </w:r>
            <w:r>
              <w:rPr>
                <w:rFonts w:hint="eastAsia" w:ascii="Calibri" w:hAnsi="Calibri" w:eastAsia="宋体" w:cs="Times New Roman"/>
                <w:color w:val="auto"/>
                <w:sz w:val="21"/>
                <w:szCs w:val="21"/>
                <w:highlight w:val="none"/>
                <w:lang w:val="en-US" w:eastAsia="zh-CN"/>
              </w:rPr>
              <w:t>.居民</w:t>
            </w:r>
            <w:r>
              <w:rPr>
                <w:rFonts w:hint="eastAsia" w:cs="Times New Roman"/>
                <w:color w:val="auto"/>
                <w:sz w:val="21"/>
                <w:szCs w:val="21"/>
                <w:highlight w:val="none"/>
              </w:rPr>
              <w:t>人均可支配收入</w:t>
            </w:r>
            <w:r>
              <w:rPr>
                <w:rFonts w:hint="eastAsia" w:cs="Times New Roman"/>
                <w:color w:val="auto"/>
                <w:sz w:val="21"/>
                <w:szCs w:val="21"/>
                <w:highlight w:val="none"/>
                <w:lang w:val="en-US" w:eastAsia="zh-CN"/>
              </w:rPr>
              <w:t>增长</w:t>
            </w:r>
            <w:r>
              <w:rPr>
                <w:rFonts w:hint="eastAsia" w:cs="Times New Roman"/>
                <w:color w:val="auto"/>
                <w:sz w:val="21"/>
                <w:szCs w:val="21"/>
                <w:highlight w:val="none"/>
              </w:rPr>
              <w:t>（</w:t>
            </w:r>
            <w:r>
              <w:rPr>
                <w:rFonts w:hint="eastAsia" w:cs="Times New Roman"/>
                <w:color w:val="auto"/>
                <w:sz w:val="21"/>
                <w:szCs w:val="21"/>
                <w:highlight w:val="none"/>
                <w:lang w:val="en-US" w:eastAsia="zh-CN"/>
              </w:rPr>
              <w:t>%</w:t>
            </w:r>
            <w:r>
              <w:rPr>
                <w:rFonts w:hint="eastAsia" w:cs="Times New Roman"/>
                <w:color w:val="auto"/>
                <w:sz w:val="21"/>
                <w:szCs w:val="21"/>
                <w:highlight w:val="none"/>
              </w:rPr>
              <w:t>）</w:t>
            </w:r>
          </w:p>
        </w:tc>
        <w:tc>
          <w:tcPr>
            <w:tcW w:w="7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宋体" w:cs="Times New Roman"/>
                <w:color w:val="auto"/>
                <w:spacing w:val="-11"/>
                <w:sz w:val="21"/>
                <w:szCs w:val="21"/>
                <w:lang w:val="en-US" w:eastAsia="zh-CN"/>
              </w:rPr>
            </w:pPr>
            <w:r>
              <w:rPr>
                <w:rFonts w:hint="default" w:ascii="Times New Roman" w:hAnsi="Times New Roman" w:eastAsia="宋体" w:cs="Times New Roman"/>
                <w:color w:val="auto"/>
                <w:spacing w:val="-11"/>
                <w:sz w:val="21"/>
                <w:szCs w:val="21"/>
              </w:rPr>
              <w:t>—</w:t>
            </w:r>
          </w:p>
        </w:tc>
        <w:tc>
          <w:tcPr>
            <w:tcW w:w="8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宋体" w:cs="Times New Roman"/>
                <w:color w:val="auto"/>
                <w:spacing w:val="-11"/>
                <w:sz w:val="21"/>
                <w:szCs w:val="21"/>
                <w:lang w:val="en-US" w:eastAsia="zh-CN"/>
              </w:rPr>
            </w:pPr>
            <w:r>
              <w:rPr>
                <w:rFonts w:hint="default" w:ascii="Times New Roman" w:hAnsi="Times New Roman" w:eastAsia="宋体" w:cs="Times New Roman"/>
                <w:color w:val="auto"/>
                <w:spacing w:val="-11"/>
                <w:sz w:val="21"/>
                <w:szCs w:val="21"/>
              </w:rPr>
              <w:t>—</w:t>
            </w:r>
          </w:p>
        </w:tc>
        <w:tc>
          <w:tcPr>
            <w:tcW w:w="1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Calibri" w:hAnsi="Calibri" w:eastAsia="宋体" w:cs="Times New Roman"/>
                <w:color w:val="auto"/>
                <w:spacing w:val="-11"/>
                <w:sz w:val="21"/>
                <w:szCs w:val="21"/>
                <w:lang w:val="en-US" w:eastAsia="zh-CN"/>
              </w:rPr>
            </w:pPr>
            <w:r>
              <w:rPr>
                <w:rFonts w:hint="eastAsia" w:ascii="Calibri" w:hAnsi="Calibri" w:cs="Times New Roman"/>
                <w:color w:val="000000" w:themeColor="text1"/>
                <w:spacing w:val="-11"/>
                <w:sz w:val="21"/>
                <w:szCs w:val="21"/>
                <w:lang w:val="en-US" w:eastAsia="zh-CN"/>
                <w14:textFill>
                  <w14:solidFill>
                    <w14:schemeClr w14:val="tx1"/>
                  </w14:solidFill>
                </w14:textFill>
              </w:rPr>
              <w:t>与GDP增长基本同步</w:t>
            </w:r>
          </w:p>
        </w:tc>
        <w:tc>
          <w:tcPr>
            <w:tcW w:w="9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Calibri" w:hAnsi="Calibri" w:eastAsia="宋体" w:cs="Times New Roman"/>
                <w:color w:val="auto"/>
                <w:spacing w:val="-11"/>
                <w:sz w:val="21"/>
                <w:szCs w:val="21"/>
              </w:rPr>
            </w:pPr>
            <w:r>
              <w:rPr>
                <w:rFonts w:hint="eastAsia" w:ascii="Calibri" w:hAnsi="Calibri" w:eastAsia="宋体" w:cs="Times New Roman"/>
                <w:color w:val="auto"/>
                <w:spacing w:val="-11"/>
                <w:sz w:val="21"/>
                <w:szCs w:val="21"/>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72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Calibri" w:hAnsi="Calibri" w:eastAsia="宋体" w:cs="Times New Roman"/>
                <w:color w:val="auto"/>
                <w:spacing w:val="-11"/>
                <w:sz w:val="21"/>
                <w:szCs w:val="21"/>
              </w:rPr>
            </w:pPr>
          </w:p>
        </w:tc>
        <w:tc>
          <w:tcPr>
            <w:tcW w:w="44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Calibri" w:hAnsi="Calibri" w:eastAsia="宋体" w:cs="Times New Roman"/>
                <w:color w:val="FF0000"/>
                <w:spacing w:val="-11"/>
                <w:sz w:val="21"/>
                <w:szCs w:val="21"/>
              </w:rPr>
            </w:pPr>
            <w:r>
              <w:rPr>
                <w:rFonts w:hint="eastAsia" w:ascii="Calibri" w:hAnsi="Calibri" w:cs="Times New Roman"/>
                <w:color w:val="auto"/>
                <w:spacing w:val="-11"/>
                <w:sz w:val="21"/>
                <w:szCs w:val="21"/>
                <w:lang w:val="en-US" w:eastAsia="zh-CN"/>
              </w:rPr>
              <w:t>7</w:t>
            </w:r>
            <w:r>
              <w:rPr>
                <w:rFonts w:hint="eastAsia" w:ascii="Calibri" w:hAnsi="Calibri" w:eastAsia="宋体" w:cs="Times New Roman"/>
                <w:color w:val="auto"/>
                <w:spacing w:val="-11"/>
                <w:sz w:val="21"/>
                <w:szCs w:val="21"/>
              </w:rPr>
              <w:t>.</w:t>
            </w:r>
            <w:r>
              <w:rPr>
                <w:rFonts w:hint="eastAsia" w:ascii="Calibri" w:hAnsi="Calibri" w:eastAsia="宋体" w:cs="Times New Roman"/>
                <w:color w:val="auto"/>
                <w:spacing w:val="-11"/>
                <w:sz w:val="21"/>
                <w:szCs w:val="21"/>
                <w:highlight w:val="none"/>
              </w:rPr>
              <w:t>城镇</w:t>
            </w:r>
            <w:r>
              <w:rPr>
                <w:rFonts w:hint="eastAsia" w:ascii="Calibri" w:hAnsi="Calibri" w:cs="Times New Roman"/>
                <w:color w:val="auto"/>
                <w:spacing w:val="-11"/>
                <w:sz w:val="21"/>
                <w:szCs w:val="21"/>
                <w:highlight w:val="none"/>
                <w:lang w:val="en-US" w:eastAsia="zh-CN"/>
              </w:rPr>
              <w:t>登记</w:t>
            </w:r>
            <w:r>
              <w:rPr>
                <w:rFonts w:hint="eastAsia" w:ascii="Calibri" w:hAnsi="Calibri" w:eastAsia="宋体" w:cs="Times New Roman"/>
                <w:color w:val="auto"/>
                <w:spacing w:val="-11"/>
                <w:sz w:val="21"/>
                <w:szCs w:val="21"/>
                <w:highlight w:val="none"/>
              </w:rPr>
              <w:t>失业率（</w:t>
            </w:r>
            <w:r>
              <w:rPr>
                <w:rFonts w:hint="eastAsia" w:ascii="Calibri" w:hAnsi="Calibri" w:eastAsia="宋体" w:cs="Times New Roman"/>
                <w:color w:val="auto"/>
                <w:spacing w:val="-11"/>
                <w:sz w:val="21"/>
                <w:szCs w:val="21"/>
              </w:rPr>
              <w:t>%）</w:t>
            </w:r>
          </w:p>
        </w:tc>
        <w:tc>
          <w:tcPr>
            <w:tcW w:w="7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pacing w:val="-11"/>
                <w:sz w:val="21"/>
                <w:szCs w:val="21"/>
                <w:lang w:val="en-US" w:eastAsia="zh-CN"/>
              </w:rPr>
            </w:pPr>
            <w:r>
              <w:rPr>
                <w:rFonts w:hint="default" w:cs="Times New Roman"/>
                <w:color w:val="auto"/>
                <w:spacing w:val="-11"/>
                <w:sz w:val="21"/>
                <w:szCs w:val="21"/>
                <w:lang w:val="en-US" w:eastAsia="zh-CN"/>
              </w:rPr>
              <w:t>3%</w:t>
            </w:r>
            <w:r>
              <w:rPr>
                <w:rFonts w:hint="default" w:cs="Times New Roman"/>
                <w:color w:val="auto"/>
                <w:spacing w:val="-11"/>
                <w:sz w:val="20"/>
                <w:szCs w:val="20"/>
                <w:lang w:val="en-US" w:eastAsia="zh-CN"/>
              </w:rPr>
              <w:t>以内</w:t>
            </w:r>
          </w:p>
        </w:tc>
        <w:tc>
          <w:tcPr>
            <w:tcW w:w="8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pacing w:val="-11"/>
                <w:sz w:val="21"/>
                <w:szCs w:val="21"/>
                <w:lang w:val="en-US" w:eastAsia="zh-CN"/>
              </w:rPr>
            </w:pPr>
          </w:p>
        </w:tc>
        <w:tc>
          <w:tcPr>
            <w:tcW w:w="1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pacing w:val="-11"/>
                <w:sz w:val="21"/>
                <w:szCs w:val="21"/>
                <w:lang w:val="en-US" w:eastAsia="zh-CN"/>
              </w:rPr>
            </w:pPr>
            <w:r>
              <w:rPr>
                <w:rFonts w:hint="default" w:cs="Times New Roman"/>
                <w:color w:val="auto"/>
                <w:spacing w:val="-11"/>
                <w:sz w:val="21"/>
                <w:szCs w:val="21"/>
                <w:lang w:val="en-US" w:eastAsia="zh-CN"/>
              </w:rPr>
              <w:t>—</w:t>
            </w:r>
          </w:p>
        </w:tc>
        <w:tc>
          <w:tcPr>
            <w:tcW w:w="9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Calibri" w:hAnsi="Calibri" w:eastAsia="宋体" w:cs="Times New Roman"/>
                <w:color w:val="auto"/>
                <w:spacing w:val="-11"/>
                <w:sz w:val="21"/>
                <w:szCs w:val="21"/>
              </w:rPr>
            </w:pPr>
            <w:r>
              <w:rPr>
                <w:rFonts w:hint="eastAsia" w:ascii="Calibri" w:hAnsi="Calibri" w:eastAsia="宋体" w:cs="Times New Roman"/>
                <w:color w:val="auto"/>
                <w:spacing w:val="-11"/>
                <w:sz w:val="21"/>
                <w:szCs w:val="21"/>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72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Calibri" w:hAnsi="Calibri" w:eastAsia="宋体" w:cs="Times New Roman"/>
                <w:color w:val="auto"/>
                <w:spacing w:val="-11"/>
                <w:sz w:val="21"/>
                <w:szCs w:val="21"/>
              </w:rPr>
            </w:pPr>
          </w:p>
        </w:tc>
        <w:tc>
          <w:tcPr>
            <w:tcW w:w="44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Calibri" w:hAnsi="Calibri" w:cs="Times New Roman"/>
                <w:color w:val="auto"/>
                <w:spacing w:val="-11"/>
                <w:sz w:val="21"/>
                <w:szCs w:val="21"/>
                <w:lang w:val="en-US" w:eastAsia="zh-CN"/>
              </w:rPr>
            </w:pPr>
            <w:r>
              <w:rPr>
                <w:rFonts w:hint="eastAsia" w:ascii="Calibri" w:hAnsi="Calibri" w:cs="Times New Roman"/>
                <w:color w:val="auto"/>
                <w:sz w:val="21"/>
                <w:szCs w:val="21"/>
                <w:lang w:val="en-US" w:eastAsia="zh-CN"/>
              </w:rPr>
              <w:t>8</w:t>
            </w:r>
            <w:r>
              <w:rPr>
                <w:rFonts w:hint="eastAsia" w:ascii="Calibri" w:hAnsi="Calibri" w:eastAsia="宋体" w:cs="Times New Roman"/>
                <w:color w:val="auto"/>
                <w:sz w:val="21"/>
                <w:szCs w:val="21"/>
                <w:lang w:val="en-US" w:eastAsia="zh-CN"/>
              </w:rPr>
              <w:t>.学前教育毛入园率（%）</w:t>
            </w:r>
          </w:p>
        </w:tc>
        <w:tc>
          <w:tcPr>
            <w:tcW w:w="7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11"/>
                <w:sz w:val="21"/>
                <w:szCs w:val="21"/>
                <w:lang w:val="en-US" w:eastAsia="zh-CN"/>
              </w:rPr>
            </w:pPr>
            <w:r>
              <w:rPr>
                <w:rFonts w:hint="eastAsia" w:cs="Times New Roman"/>
                <w:color w:val="auto"/>
                <w:sz w:val="21"/>
                <w:szCs w:val="21"/>
                <w:lang w:val="en-US" w:eastAsia="zh-CN"/>
              </w:rPr>
              <w:t>100</w:t>
            </w:r>
          </w:p>
        </w:tc>
        <w:tc>
          <w:tcPr>
            <w:tcW w:w="8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11"/>
                <w:sz w:val="21"/>
                <w:szCs w:val="21"/>
                <w:lang w:val="en-US" w:eastAsia="zh-CN"/>
              </w:rPr>
            </w:pPr>
            <w:r>
              <w:rPr>
                <w:rFonts w:hint="eastAsia" w:cs="Times New Roman"/>
                <w:color w:val="auto"/>
                <w:sz w:val="21"/>
                <w:szCs w:val="21"/>
                <w:lang w:val="en-US" w:eastAsia="zh-CN"/>
              </w:rPr>
              <w:t>100</w:t>
            </w:r>
          </w:p>
        </w:tc>
        <w:tc>
          <w:tcPr>
            <w:tcW w:w="1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pacing w:val="-11"/>
                <w:sz w:val="21"/>
                <w:szCs w:val="21"/>
                <w:lang w:val="en-US" w:eastAsia="zh-CN"/>
              </w:rPr>
            </w:pPr>
          </w:p>
        </w:tc>
        <w:tc>
          <w:tcPr>
            <w:tcW w:w="9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Calibri" w:hAnsi="Calibri" w:eastAsia="宋体" w:cs="Times New Roman"/>
                <w:color w:val="auto"/>
                <w:spacing w:val="-11"/>
                <w:sz w:val="21"/>
                <w:szCs w:val="21"/>
              </w:rPr>
            </w:pPr>
            <w:r>
              <w:rPr>
                <w:rFonts w:hint="eastAsia" w:ascii="Calibri" w:hAnsi="Calibri" w:eastAsia="宋体" w:cs="Times New Roman"/>
                <w:color w:val="auto"/>
                <w:spacing w:val="-11"/>
                <w:sz w:val="21"/>
                <w:szCs w:val="21"/>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72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Calibri" w:hAnsi="Calibri" w:eastAsia="宋体" w:cs="Times New Roman"/>
                <w:color w:val="auto"/>
                <w:spacing w:val="-11"/>
                <w:sz w:val="21"/>
                <w:szCs w:val="21"/>
              </w:rPr>
            </w:pPr>
          </w:p>
        </w:tc>
        <w:tc>
          <w:tcPr>
            <w:tcW w:w="44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Calibri" w:hAnsi="Calibri" w:cs="Times New Roman"/>
                <w:color w:val="auto"/>
                <w:spacing w:val="-11"/>
                <w:sz w:val="21"/>
                <w:szCs w:val="21"/>
                <w:lang w:val="en-US" w:eastAsia="zh-CN"/>
              </w:rPr>
            </w:pPr>
            <w:r>
              <w:rPr>
                <w:rFonts w:hint="eastAsia" w:ascii="Calibri" w:hAnsi="Calibri" w:cs="Times New Roman"/>
                <w:color w:val="auto"/>
                <w:sz w:val="21"/>
                <w:szCs w:val="21"/>
                <w:lang w:val="en-US" w:eastAsia="zh-CN"/>
              </w:rPr>
              <w:t>9</w:t>
            </w:r>
            <w:r>
              <w:rPr>
                <w:rFonts w:hint="eastAsia" w:ascii="Calibri" w:hAnsi="Calibri" w:eastAsia="宋体" w:cs="Times New Roman"/>
                <w:color w:val="auto"/>
                <w:sz w:val="21"/>
                <w:szCs w:val="21"/>
                <w:lang w:val="en-US" w:eastAsia="zh-CN"/>
              </w:rPr>
              <w:t>.义务教育巩固率（%）</w:t>
            </w:r>
          </w:p>
        </w:tc>
        <w:tc>
          <w:tcPr>
            <w:tcW w:w="7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11"/>
                <w:sz w:val="21"/>
                <w:szCs w:val="21"/>
                <w:lang w:val="en-US" w:eastAsia="zh-CN"/>
              </w:rPr>
            </w:pPr>
            <w:r>
              <w:rPr>
                <w:rFonts w:hint="default" w:ascii="Times New Roman" w:hAnsi="Times New Roman" w:eastAsia="宋体" w:cs="Times New Roman"/>
                <w:color w:val="auto"/>
                <w:sz w:val="21"/>
                <w:szCs w:val="21"/>
                <w:lang w:val="en-US" w:eastAsia="zh-CN"/>
              </w:rPr>
              <w:t>99</w:t>
            </w:r>
          </w:p>
        </w:tc>
        <w:tc>
          <w:tcPr>
            <w:tcW w:w="8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11"/>
                <w:sz w:val="21"/>
                <w:szCs w:val="21"/>
                <w:lang w:val="en-US" w:eastAsia="zh-CN"/>
              </w:rPr>
            </w:pPr>
            <w:r>
              <w:rPr>
                <w:rFonts w:hint="eastAsia" w:cs="Times New Roman"/>
                <w:color w:val="auto"/>
                <w:sz w:val="21"/>
                <w:szCs w:val="21"/>
                <w:lang w:val="en-US" w:eastAsia="zh-CN"/>
              </w:rPr>
              <w:t>100</w:t>
            </w:r>
          </w:p>
        </w:tc>
        <w:tc>
          <w:tcPr>
            <w:tcW w:w="1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pacing w:val="-11"/>
                <w:sz w:val="21"/>
                <w:szCs w:val="21"/>
                <w:lang w:val="en-US" w:eastAsia="zh-CN"/>
              </w:rPr>
            </w:pPr>
          </w:p>
        </w:tc>
        <w:tc>
          <w:tcPr>
            <w:tcW w:w="9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Calibri" w:hAnsi="Calibri" w:eastAsia="宋体" w:cs="Times New Roman"/>
                <w:color w:val="auto"/>
                <w:spacing w:val="-11"/>
                <w:sz w:val="21"/>
                <w:szCs w:val="21"/>
              </w:rPr>
            </w:pPr>
            <w:r>
              <w:rPr>
                <w:rFonts w:hint="eastAsia" w:ascii="Calibri" w:hAnsi="Calibri" w:eastAsia="宋体" w:cs="Times New Roman"/>
                <w:color w:val="auto"/>
                <w:spacing w:val="-11"/>
                <w:sz w:val="21"/>
                <w:szCs w:val="21"/>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72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Calibri" w:hAnsi="Calibri" w:eastAsia="宋体" w:cs="Times New Roman"/>
                <w:color w:val="auto"/>
                <w:spacing w:val="-11"/>
                <w:sz w:val="21"/>
                <w:szCs w:val="21"/>
              </w:rPr>
            </w:pPr>
          </w:p>
        </w:tc>
        <w:tc>
          <w:tcPr>
            <w:tcW w:w="44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Calibri" w:hAnsi="Calibri" w:cs="Times New Roman"/>
                <w:color w:val="auto"/>
                <w:spacing w:val="-11"/>
                <w:sz w:val="21"/>
                <w:szCs w:val="21"/>
                <w:lang w:val="en-US" w:eastAsia="zh-CN"/>
              </w:rPr>
            </w:pPr>
            <w:r>
              <w:rPr>
                <w:rFonts w:hint="eastAsia" w:ascii="Calibri" w:hAnsi="Calibri" w:eastAsia="宋体" w:cs="Times New Roman"/>
                <w:color w:val="auto"/>
                <w:sz w:val="21"/>
                <w:szCs w:val="21"/>
                <w:lang w:val="en-US" w:eastAsia="zh-CN"/>
              </w:rPr>
              <w:t>1</w:t>
            </w:r>
            <w:r>
              <w:rPr>
                <w:rFonts w:hint="eastAsia" w:ascii="Calibri" w:hAnsi="Calibri" w:cs="Times New Roman"/>
                <w:color w:val="auto"/>
                <w:sz w:val="21"/>
                <w:szCs w:val="21"/>
                <w:lang w:val="en-US" w:eastAsia="zh-CN"/>
              </w:rPr>
              <w:t>0</w:t>
            </w:r>
            <w:r>
              <w:rPr>
                <w:rFonts w:hint="eastAsia" w:ascii="Calibri" w:hAnsi="Calibri" w:eastAsia="宋体" w:cs="Times New Roman"/>
                <w:color w:val="auto"/>
                <w:sz w:val="21"/>
                <w:szCs w:val="21"/>
                <w:lang w:val="en-US" w:eastAsia="zh-CN"/>
              </w:rPr>
              <w:t>.高中阶段教育毛入学率（%）</w:t>
            </w:r>
          </w:p>
        </w:tc>
        <w:tc>
          <w:tcPr>
            <w:tcW w:w="7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11"/>
                <w:sz w:val="21"/>
                <w:szCs w:val="21"/>
                <w:lang w:val="en-US" w:eastAsia="zh-CN"/>
              </w:rPr>
            </w:pPr>
            <w:r>
              <w:rPr>
                <w:rFonts w:hint="eastAsia" w:cs="Times New Roman"/>
                <w:color w:val="auto"/>
                <w:sz w:val="21"/>
                <w:szCs w:val="21"/>
                <w:lang w:val="en-US" w:eastAsia="zh-CN"/>
              </w:rPr>
              <w:t>98.5</w:t>
            </w:r>
          </w:p>
        </w:tc>
        <w:tc>
          <w:tcPr>
            <w:tcW w:w="8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11"/>
                <w:sz w:val="21"/>
                <w:szCs w:val="21"/>
                <w:lang w:val="en-US" w:eastAsia="zh-CN"/>
              </w:rPr>
            </w:pPr>
            <w:r>
              <w:rPr>
                <w:rFonts w:hint="eastAsia" w:cs="Times New Roman"/>
                <w:color w:val="auto"/>
                <w:sz w:val="21"/>
                <w:szCs w:val="21"/>
                <w:lang w:val="en-US" w:eastAsia="zh-CN"/>
              </w:rPr>
              <w:t>99.2</w:t>
            </w:r>
          </w:p>
        </w:tc>
        <w:tc>
          <w:tcPr>
            <w:tcW w:w="1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pacing w:val="-11"/>
                <w:sz w:val="21"/>
                <w:szCs w:val="21"/>
                <w:lang w:val="en-US" w:eastAsia="zh-CN"/>
              </w:rPr>
            </w:pPr>
          </w:p>
        </w:tc>
        <w:tc>
          <w:tcPr>
            <w:tcW w:w="9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Calibri" w:hAnsi="Calibri" w:eastAsia="宋体" w:cs="Times New Roman"/>
                <w:color w:val="auto"/>
                <w:spacing w:val="-11"/>
                <w:sz w:val="21"/>
                <w:szCs w:val="21"/>
              </w:rPr>
            </w:pPr>
            <w:r>
              <w:rPr>
                <w:rFonts w:hint="eastAsia" w:ascii="Calibri" w:hAnsi="Calibri" w:eastAsia="宋体" w:cs="Times New Roman"/>
                <w:color w:val="auto"/>
                <w:spacing w:val="-11"/>
                <w:sz w:val="21"/>
                <w:szCs w:val="21"/>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72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Calibri" w:hAnsi="Calibri" w:eastAsia="宋体" w:cs="Times New Roman"/>
                <w:color w:val="auto"/>
                <w:spacing w:val="-11"/>
                <w:sz w:val="21"/>
                <w:szCs w:val="21"/>
              </w:rPr>
            </w:pPr>
          </w:p>
        </w:tc>
        <w:tc>
          <w:tcPr>
            <w:tcW w:w="44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Calibri" w:hAnsi="Calibri" w:eastAsia="宋体" w:cs="Times New Roman"/>
                <w:color w:val="auto"/>
                <w:spacing w:val="-11"/>
                <w:sz w:val="21"/>
                <w:szCs w:val="21"/>
                <w:lang w:val="en-US" w:eastAsia="zh-CN"/>
              </w:rPr>
            </w:pPr>
            <w:r>
              <w:rPr>
                <w:rFonts w:hint="eastAsia" w:ascii="Calibri" w:hAnsi="Calibri" w:cs="Times New Roman"/>
                <w:color w:val="auto"/>
                <w:spacing w:val="-11"/>
                <w:sz w:val="21"/>
                <w:szCs w:val="21"/>
                <w:lang w:val="en-US" w:eastAsia="zh-CN"/>
              </w:rPr>
              <w:t>11</w:t>
            </w:r>
            <w:r>
              <w:rPr>
                <w:rFonts w:hint="eastAsia" w:ascii="Calibri" w:hAnsi="Calibri" w:eastAsia="宋体" w:cs="Times New Roman"/>
                <w:color w:val="auto"/>
                <w:sz w:val="21"/>
                <w:szCs w:val="21"/>
                <w:lang w:val="en-US" w:eastAsia="zh-CN"/>
              </w:rPr>
              <w:t>.</w:t>
            </w:r>
            <w:r>
              <w:rPr>
                <w:rFonts w:hint="eastAsia" w:ascii="Calibri" w:hAnsi="Calibri" w:cs="Times New Roman"/>
                <w:color w:val="auto"/>
                <w:spacing w:val="-11"/>
                <w:sz w:val="21"/>
                <w:szCs w:val="21"/>
                <w:lang w:val="en-US" w:eastAsia="zh-CN"/>
              </w:rPr>
              <w:t>每千人口拥有3岁以下婴幼儿托位数（个）</w:t>
            </w:r>
          </w:p>
        </w:tc>
        <w:tc>
          <w:tcPr>
            <w:tcW w:w="7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11"/>
                <w:sz w:val="21"/>
                <w:szCs w:val="21"/>
                <w:lang w:val="en-US" w:eastAsia="zh-CN"/>
              </w:rPr>
            </w:pPr>
            <w:r>
              <w:rPr>
                <w:rFonts w:hint="eastAsia" w:cs="Times New Roman"/>
                <w:color w:val="auto"/>
                <w:spacing w:val="-11"/>
                <w:sz w:val="21"/>
                <w:szCs w:val="21"/>
                <w:lang w:val="en-US" w:eastAsia="zh-CN"/>
              </w:rPr>
              <w:t>0.03</w:t>
            </w:r>
          </w:p>
        </w:tc>
        <w:tc>
          <w:tcPr>
            <w:tcW w:w="8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11"/>
                <w:sz w:val="21"/>
                <w:szCs w:val="21"/>
                <w:lang w:val="en-US" w:eastAsia="zh-CN"/>
              </w:rPr>
            </w:pPr>
            <w:r>
              <w:rPr>
                <w:rFonts w:hint="eastAsia" w:cs="Times New Roman"/>
                <w:color w:val="auto"/>
                <w:spacing w:val="-11"/>
                <w:sz w:val="21"/>
                <w:szCs w:val="21"/>
                <w:lang w:val="en-US" w:eastAsia="zh-CN"/>
              </w:rPr>
              <w:t>1.25</w:t>
            </w:r>
          </w:p>
        </w:tc>
        <w:tc>
          <w:tcPr>
            <w:tcW w:w="1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pacing w:val="-11"/>
                <w:sz w:val="21"/>
                <w:szCs w:val="21"/>
                <w:lang w:val="en-US" w:eastAsia="zh-CN"/>
              </w:rPr>
            </w:pPr>
          </w:p>
        </w:tc>
        <w:tc>
          <w:tcPr>
            <w:tcW w:w="9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Calibri" w:hAnsi="Calibri" w:eastAsia="宋体" w:cs="Times New Roman"/>
                <w:color w:val="auto"/>
                <w:spacing w:val="-11"/>
                <w:sz w:val="21"/>
                <w:szCs w:val="21"/>
              </w:rPr>
            </w:pPr>
            <w:r>
              <w:rPr>
                <w:rFonts w:hint="eastAsia" w:ascii="Calibri" w:hAnsi="Calibri" w:eastAsia="宋体" w:cs="Times New Roman"/>
                <w:color w:val="auto"/>
                <w:spacing w:val="-11"/>
                <w:sz w:val="21"/>
                <w:szCs w:val="21"/>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72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Calibri" w:hAnsi="Calibri" w:eastAsia="宋体" w:cs="Times New Roman"/>
                <w:color w:val="auto"/>
                <w:spacing w:val="-11"/>
                <w:sz w:val="21"/>
                <w:szCs w:val="21"/>
              </w:rPr>
            </w:pPr>
          </w:p>
        </w:tc>
        <w:tc>
          <w:tcPr>
            <w:tcW w:w="44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Calibri" w:hAnsi="Calibri" w:eastAsia="宋体" w:cs="Times New Roman"/>
                <w:color w:val="000000" w:themeColor="text1"/>
                <w:spacing w:val="-11"/>
                <w:sz w:val="21"/>
                <w:szCs w:val="21"/>
                <w:lang w:val="en-US" w:eastAsia="zh-CN"/>
                <w14:textFill>
                  <w14:solidFill>
                    <w14:schemeClr w14:val="tx1"/>
                  </w14:solidFill>
                </w14:textFill>
              </w:rPr>
            </w:pPr>
            <w:r>
              <w:rPr>
                <w:rFonts w:hint="eastAsia" w:ascii="Calibri" w:hAnsi="Calibri" w:eastAsia="宋体" w:cs="Times New Roman"/>
                <w:color w:val="000000" w:themeColor="text1"/>
                <w:spacing w:val="-11"/>
                <w:sz w:val="21"/>
                <w:szCs w:val="21"/>
                <w:lang w:val="en-US" w:eastAsia="zh-CN"/>
                <w14:textFill>
                  <w14:solidFill>
                    <w14:schemeClr w14:val="tx1"/>
                  </w14:solidFill>
                </w14:textFill>
              </w:rPr>
              <w:t>1</w:t>
            </w:r>
            <w:r>
              <w:rPr>
                <w:rFonts w:hint="eastAsia" w:ascii="Calibri" w:hAnsi="Calibri" w:cs="Times New Roman"/>
                <w:color w:val="000000" w:themeColor="text1"/>
                <w:spacing w:val="-11"/>
                <w:sz w:val="21"/>
                <w:szCs w:val="21"/>
                <w:lang w:val="en-US" w:eastAsia="zh-CN"/>
                <w14:textFill>
                  <w14:solidFill>
                    <w14:schemeClr w14:val="tx1"/>
                  </w14:solidFill>
                </w14:textFill>
              </w:rPr>
              <w:t>2</w:t>
            </w:r>
            <w:r>
              <w:rPr>
                <w:rFonts w:hint="eastAsia" w:ascii="Calibri" w:hAnsi="Calibri" w:eastAsia="宋体" w:cs="Times New Roman"/>
                <w:color w:val="000000" w:themeColor="text1"/>
                <w:spacing w:val="-11"/>
                <w:sz w:val="21"/>
                <w:szCs w:val="21"/>
                <w:lang w:val="en-US" w:eastAsia="zh-CN"/>
                <w14:textFill>
                  <w14:solidFill>
                    <w14:schemeClr w14:val="tx1"/>
                  </w14:solidFill>
                </w14:textFill>
              </w:rPr>
              <w:t>.每千人口拥有执业（助理）医师数（人）</w:t>
            </w:r>
          </w:p>
        </w:tc>
        <w:tc>
          <w:tcPr>
            <w:tcW w:w="7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pacing w:val="-1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11"/>
                <w:sz w:val="21"/>
                <w:szCs w:val="21"/>
                <w:lang w:val="en-US" w:eastAsia="zh-CN"/>
                <w14:textFill>
                  <w14:solidFill>
                    <w14:schemeClr w14:val="tx1"/>
                  </w14:solidFill>
                </w14:textFill>
              </w:rPr>
              <w:t>2.88</w:t>
            </w:r>
          </w:p>
        </w:tc>
        <w:tc>
          <w:tcPr>
            <w:tcW w:w="8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pacing w:val="-1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11"/>
                <w:sz w:val="21"/>
                <w:szCs w:val="21"/>
                <w:lang w:val="en-US" w:eastAsia="zh-CN"/>
                <w14:textFill>
                  <w14:solidFill>
                    <w14:schemeClr w14:val="tx1"/>
                  </w14:solidFill>
                </w14:textFill>
              </w:rPr>
              <w:t>3.18</w:t>
            </w:r>
          </w:p>
        </w:tc>
        <w:tc>
          <w:tcPr>
            <w:tcW w:w="1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Calibri" w:hAnsi="Calibri" w:eastAsia="宋体" w:cs="Times New Roman"/>
                <w:color w:val="FF0000"/>
                <w:spacing w:val="-11"/>
                <w:sz w:val="21"/>
                <w:szCs w:val="21"/>
                <w:lang w:val="en-US" w:eastAsia="zh-CN"/>
              </w:rPr>
            </w:pPr>
            <w:r>
              <w:rPr>
                <w:rFonts w:hint="eastAsia" w:cs="Times New Roman"/>
                <w:color w:val="auto"/>
                <w:spacing w:val="-11"/>
                <w:sz w:val="21"/>
                <w:szCs w:val="21"/>
                <w:lang w:val="en-US" w:eastAsia="zh-CN"/>
              </w:rPr>
              <w:t>—</w:t>
            </w:r>
          </w:p>
        </w:tc>
        <w:tc>
          <w:tcPr>
            <w:tcW w:w="9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Calibri" w:hAnsi="Calibri" w:eastAsia="宋体" w:cs="Times New Roman"/>
                <w:color w:val="auto"/>
                <w:spacing w:val="-11"/>
                <w:sz w:val="21"/>
                <w:szCs w:val="21"/>
              </w:rPr>
            </w:pPr>
            <w:r>
              <w:rPr>
                <w:rFonts w:hint="eastAsia" w:ascii="Calibri" w:hAnsi="Calibri" w:eastAsia="宋体" w:cs="Times New Roman"/>
                <w:color w:val="auto"/>
                <w:spacing w:val="-11"/>
                <w:sz w:val="21"/>
                <w:szCs w:val="21"/>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72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Calibri" w:hAnsi="Calibri" w:eastAsia="宋体" w:cs="Times New Roman"/>
                <w:color w:val="auto"/>
                <w:spacing w:val="-11"/>
                <w:sz w:val="21"/>
                <w:szCs w:val="21"/>
              </w:rPr>
            </w:pPr>
          </w:p>
        </w:tc>
        <w:tc>
          <w:tcPr>
            <w:tcW w:w="448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Calibri" w:hAnsi="Calibri" w:eastAsia="宋体" w:cs="Times New Roman"/>
                <w:color w:val="auto"/>
                <w:spacing w:val="-11"/>
                <w:sz w:val="21"/>
                <w:szCs w:val="21"/>
                <w:lang w:val="en-US" w:eastAsia="zh-CN"/>
              </w:rPr>
            </w:pPr>
            <w:r>
              <w:rPr>
                <w:rFonts w:hint="eastAsia" w:ascii="Calibri" w:hAnsi="Calibri" w:eastAsia="宋体" w:cs="Times New Roman"/>
                <w:color w:val="auto"/>
                <w:spacing w:val="-11"/>
                <w:sz w:val="21"/>
                <w:szCs w:val="21"/>
                <w:lang w:val="en-US" w:eastAsia="zh-CN"/>
              </w:rPr>
              <w:t>1</w:t>
            </w:r>
            <w:r>
              <w:rPr>
                <w:rFonts w:hint="eastAsia" w:ascii="Calibri" w:hAnsi="Calibri" w:cs="Times New Roman"/>
                <w:color w:val="auto"/>
                <w:spacing w:val="-11"/>
                <w:sz w:val="21"/>
                <w:szCs w:val="21"/>
                <w:lang w:val="en-US" w:eastAsia="zh-CN"/>
              </w:rPr>
              <w:t>3</w:t>
            </w:r>
            <w:r>
              <w:rPr>
                <w:rFonts w:hint="eastAsia" w:ascii="Calibri" w:hAnsi="Calibri" w:eastAsia="宋体" w:cs="Times New Roman"/>
                <w:color w:val="auto"/>
                <w:spacing w:val="-11"/>
                <w:sz w:val="21"/>
                <w:szCs w:val="21"/>
                <w:lang w:val="en-US" w:eastAsia="zh-CN"/>
              </w:rPr>
              <w:t>.基本养老保险参保率（%）</w:t>
            </w:r>
          </w:p>
        </w:tc>
        <w:tc>
          <w:tcPr>
            <w:tcW w:w="7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11"/>
                <w:sz w:val="21"/>
                <w:szCs w:val="21"/>
                <w:lang w:val="en-US" w:eastAsia="zh-CN"/>
              </w:rPr>
            </w:pPr>
            <w:r>
              <w:rPr>
                <w:rFonts w:hint="default" w:ascii="Times New Roman" w:hAnsi="Times New Roman" w:eastAsia="宋体" w:cs="Times New Roman"/>
                <w:color w:val="auto"/>
                <w:spacing w:val="-11"/>
                <w:sz w:val="21"/>
                <w:szCs w:val="21"/>
                <w:lang w:val="en-US" w:eastAsia="zh-CN"/>
              </w:rPr>
              <w:t>96.3</w:t>
            </w:r>
          </w:p>
        </w:tc>
        <w:tc>
          <w:tcPr>
            <w:tcW w:w="8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Calibri" w:hAnsi="Calibri" w:eastAsia="宋体" w:cs="Times New Roman"/>
                <w:color w:val="auto"/>
                <w:spacing w:val="-11"/>
                <w:sz w:val="21"/>
                <w:szCs w:val="21"/>
              </w:rPr>
            </w:pPr>
            <w:r>
              <w:rPr>
                <w:rFonts w:hint="eastAsia" w:cs="Times New Roman"/>
                <w:color w:val="auto"/>
                <w:spacing w:val="-11"/>
                <w:sz w:val="21"/>
                <w:szCs w:val="21"/>
                <w:lang w:val="en-US" w:eastAsia="zh-CN"/>
              </w:rPr>
              <w:t>＞9</w:t>
            </w:r>
            <w:r>
              <w:rPr>
                <w:rFonts w:hint="default" w:ascii="Times New Roman" w:hAnsi="Times New Roman" w:eastAsia="宋体" w:cs="Times New Roman"/>
                <w:color w:val="auto"/>
                <w:spacing w:val="-11"/>
                <w:sz w:val="21"/>
                <w:szCs w:val="21"/>
                <w:lang w:val="en-US" w:eastAsia="zh-CN"/>
              </w:rPr>
              <w:t>5</w:t>
            </w:r>
          </w:p>
        </w:tc>
        <w:tc>
          <w:tcPr>
            <w:tcW w:w="17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Calibri" w:hAnsi="Calibri" w:eastAsia="宋体" w:cs="Times New Roman"/>
                <w:color w:val="auto"/>
                <w:spacing w:val="-11"/>
                <w:sz w:val="21"/>
                <w:szCs w:val="21"/>
              </w:rPr>
            </w:pPr>
            <w:r>
              <w:rPr>
                <w:rFonts w:hint="eastAsia" w:cs="Times New Roman"/>
                <w:color w:val="auto"/>
                <w:spacing w:val="-11"/>
                <w:sz w:val="21"/>
                <w:szCs w:val="21"/>
                <w:lang w:val="en-US" w:eastAsia="zh-CN"/>
              </w:rPr>
              <w:t>—</w:t>
            </w:r>
          </w:p>
        </w:tc>
        <w:tc>
          <w:tcPr>
            <w:tcW w:w="92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Calibri" w:hAnsi="Calibri" w:eastAsia="宋体" w:cs="Times New Roman"/>
                <w:color w:val="auto"/>
                <w:spacing w:val="-11"/>
                <w:sz w:val="21"/>
                <w:szCs w:val="21"/>
              </w:rPr>
            </w:pPr>
            <w:r>
              <w:rPr>
                <w:rFonts w:hint="eastAsia" w:ascii="Calibri" w:hAnsi="Calibri" w:eastAsia="宋体" w:cs="Times New Roman"/>
                <w:color w:val="auto"/>
                <w:spacing w:val="-11"/>
                <w:sz w:val="21"/>
                <w:szCs w:val="21"/>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72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Calibri" w:hAnsi="Calibri" w:eastAsia="宋体" w:cs="Times New Roman"/>
                <w:b/>
                <w:color w:val="auto"/>
                <w:spacing w:val="-11"/>
                <w:sz w:val="21"/>
                <w:szCs w:val="21"/>
                <w:lang w:val="en-US" w:eastAsia="zh-CN"/>
              </w:rPr>
            </w:pPr>
            <w:r>
              <w:rPr>
                <w:rFonts w:hint="eastAsia" w:ascii="Calibri" w:hAnsi="Calibri" w:eastAsia="宋体" w:cs="Times New Roman"/>
                <w:b/>
                <w:color w:val="auto"/>
                <w:spacing w:val="-11"/>
                <w:sz w:val="21"/>
                <w:szCs w:val="21"/>
                <w:lang w:val="en-US" w:eastAsia="zh-CN"/>
              </w:rPr>
              <w:t>绿</w:t>
            </w:r>
            <w:r>
              <w:rPr>
                <w:rFonts w:hint="eastAsia" w:ascii="Calibri" w:hAnsi="Calibri" w:cs="Times New Roman"/>
                <w:b/>
                <w:color w:val="auto"/>
                <w:spacing w:val="-11"/>
                <w:sz w:val="21"/>
                <w:szCs w:val="21"/>
                <w:lang w:val="en-US" w:eastAsia="zh-CN"/>
              </w:rPr>
              <w:t xml:space="preserve"> </w:t>
            </w:r>
            <w:r>
              <w:rPr>
                <w:rFonts w:hint="eastAsia" w:ascii="Calibri" w:hAnsi="Calibri" w:eastAsia="宋体" w:cs="Times New Roman"/>
                <w:b/>
                <w:color w:val="auto"/>
                <w:spacing w:val="-11"/>
                <w:sz w:val="21"/>
                <w:szCs w:val="21"/>
                <w:lang w:val="en-US" w:eastAsia="zh-CN"/>
              </w:rPr>
              <w:t>色</w:t>
            </w: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Calibri" w:hAnsi="Calibri" w:eastAsia="宋体" w:cs="Times New Roman"/>
                <w:b/>
                <w:color w:val="auto"/>
                <w:spacing w:val="-11"/>
                <w:sz w:val="21"/>
                <w:szCs w:val="21"/>
                <w:lang w:val="en-US" w:eastAsia="zh-CN"/>
              </w:rPr>
            </w:pPr>
            <w:r>
              <w:rPr>
                <w:rFonts w:hint="eastAsia" w:ascii="Calibri" w:hAnsi="Calibri" w:cs="Times New Roman"/>
                <w:b/>
                <w:color w:val="auto"/>
                <w:spacing w:val="-11"/>
                <w:sz w:val="21"/>
                <w:szCs w:val="21"/>
                <w:lang w:val="en-US" w:eastAsia="zh-CN"/>
              </w:rPr>
              <w:t>生 态</w:t>
            </w:r>
          </w:p>
        </w:tc>
        <w:tc>
          <w:tcPr>
            <w:tcW w:w="448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ascii="Calibri" w:hAnsi="Calibri" w:eastAsia="宋体" w:cs="Times New Roman"/>
                <w:color w:val="auto"/>
                <w:spacing w:val="-11"/>
                <w:sz w:val="21"/>
                <w:szCs w:val="21"/>
              </w:rPr>
            </w:pPr>
            <w:r>
              <w:rPr>
                <w:rFonts w:hint="eastAsia" w:ascii="Calibri" w:hAnsi="Calibri" w:cs="Times New Roman"/>
                <w:color w:val="auto"/>
                <w:spacing w:val="-11"/>
                <w:sz w:val="21"/>
                <w:szCs w:val="21"/>
                <w:lang w:val="en-US" w:eastAsia="zh-CN"/>
              </w:rPr>
              <w:t>14.</w:t>
            </w:r>
            <w:r>
              <w:rPr>
                <w:rFonts w:hint="eastAsia" w:ascii="Calibri" w:hAnsi="Calibri" w:eastAsia="宋体" w:cs="Times New Roman"/>
                <w:color w:val="auto"/>
                <w:spacing w:val="-11"/>
                <w:sz w:val="21"/>
                <w:szCs w:val="21"/>
              </w:rPr>
              <w:t>单位地区生产总值能源消耗降</w:t>
            </w:r>
            <w:r>
              <w:rPr>
                <w:rFonts w:hint="eastAsia" w:ascii="Calibri" w:hAnsi="Calibri" w:cs="Times New Roman"/>
                <w:color w:val="auto"/>
                <w:spacing w:val="-11"/>
                <w:sz w:val="21"/>
                <w:szCs w:val="21"/>
                <w:lang w:val="en-US" w:eastAsia="zh-CN"/>
              </w:rPr>
              <w:t>低</w:t>
            </w:r>
            <w:r>
              <w:rPr>
                <w:rFonts w:hint="eastAsia" w:ascii="Calibri" w:hAnsi="Calibri" w:eastAsia="宋体" w:cs="Times New Roman"/>
                <w:color w:val="auto"/>
                <w:spacing w:val="-11"/>
                <w:sz w:val="21"/>
                <w:szCs w:val="21"/>
              </w:rPr>
              <w:t>（%）</w:t>
            </w:r>
          </w:p>
        </w:tc>
        <w:tc>
          <w:tcPr>
            <w:tcW w:w="7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pacing w:val="-11"/>
                <w:sz w:val="21"/>
                <w:szCs w:val="21"/>
                <w14:textFill>
                  <w14:solidFill>
                    <w14:schemeClr w14:val="tx1"/>
                  </w14:solidFill>
                </w14:textFill>
              </w:rPr>
            </w:pPr>
            <w:r>
              <w:rPr>
                <w:rFonts w:hint="eastAsia" w:ascii="Calibri" w:hAnsi="Calibri" w:cs="Times New Roman"/>
                <w:color w:val="000000" w:themeColor="text1"/>
                <w:spacing w:val="-11"/>
                <w:sz w:val="21"/>
                <w:szCs w:val="21"/>
                <w:lang w:val="en-US" w:eastAsia="zh-CN"/>
                <w14:textFill>
                  <w14:solidFill>
                    <w14:schemeClr w14:val="tx1"/>
                  </w14:solidFill>
                </w14:textFill>
              </w:rPr>
              <w:t>3</w:t>
            </w:r>
          </w:p>
        </w:tc>
        <w:tc>
          <w:tcPr>
            <w:tcW w:w="2564"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Calibri" w:hAnsi="Calibri" w:eastAsia="宋体" w:cs="Times New Roman"/>
                <w:color w:val="000000" w:themeColor="text1"/>
                <w:spacing w:val="-11"/>
                <w:sz w:val="21"/>
                <w:szCs w:val="21"/>
                <w14:textFill>
                  <w14:solidFill>
                    <w14:schemeClr w14:val="tx1"/>
                  </w14:solidFill>
                </w14:textFill>
              </w:rPr>
            </w:pPr>
            <w:r>
              <w:rPr>
                <w:rFonts w:hint="default" w:ascii="Calibri" w:hAnsi="Calibri" w:eastAsia="宋体" w:cs="Times New Roman"/>
                <w:color w:val="000000" w:themeColor="text1"/>
                <w:spacing w:val="-11"/>
                <w:sz w:val="21"/>
                <w:szCs w:val="21"/>
                <w14:textFill>
                  <w14:solidFill>
                    <w14:schemeClr w14:val="tx1"/>
                  </w14:solidFill>
                </w14:textFill>
              </w:rPr>
              <w:t>控制在自治</w:t>
            </w:r>
            <w:r>
              <w:rPr>
                <w:rFonts w:hint="eastAsia" w:ascii="Calibri" w:hAnsi="Calibri" w:cs="Times New Roman"/>
                <w:color w:val="000000" w:themeColor="text1"/>
                <w:spacing w:val="-11"/>
                <w:sz w:val="21"/>
                <w:szCs w:val="21"/>
                <w:lang w:eastAsia="zh-CN"/>
                <w14:textFill>
                  <w14:solidFill>
                    <w14:schemeClr w14:val="tx1"/>
                  </w14:solidFill>
                </w14:textFill>
              </w:rPr>
              <w:t>州</w:t>
            </w:r>
            <w:r>
              <w:rPr>
                <w:rFonts w:hint="default" w:ascii="Calibri" w:hAnsi="Calibri" w:eastAsia="宋体" w:cs="Times New Roman"/>
                <w:color w:val="000000" w:themeColor="text1"/>
                <w:spacing w:val="-11"/>
                <w:sz w:val="21"/>
                <w:szCs w:val="21"/>
                <w14:textFill>
                  <w14:solidFill>
                    <w14:schemeClr w14:val="tx1"/>
                  </w14:solidFill>
                </w14:textFill>
              </w:rPr>
              <w:t>下达指标内</w:t>
            </w:r>
          </w:p>
        </w:tc>
        <w:tc>
          <w:tcPr>
            <w:tcW w:w="9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Calibri" w:hAnsi="Calibri" w:eastAsia="宋体" w:cs="Times New Roman"/>
                <w:color w:val="auto"/>
                <w:spacing w:val="-11"/>
                <w:sz w:val="21"/>
                <w:szCs w:val="21"/>
              </w:rPr>
            </w:pPr>
            <w:r>
              <w:rPr>
                <w:rFonts w:hint="eastAsia" w:ascii="Calibri" w:hAnsi="Calibri" w:eastAsia="宋体" w:cs="Times New Roman"/>
                <w:color w:val="auto"/>
                <w:spacing w:val="-11"/>
                <w:sz w:val="21"/>
                <w:szCs w:val="21"/>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72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422"/>
              <w:textAlignment w:val="auto"/>
              <w:rPr>
                <w:rFonts w:ascii="Calibri" w:hAnsi="Calibri" w:eastAsia="宋体" w:cs="Times New Roman"/>
                <w:b/>
                <w:color w:val="auto"/>
                <w:spacing w:val="-11"/>
                <w:sz w:val="21"/>
                <w:szCs w:val="21"/>
              </w:rPr>
            </w:pPr>
          </w:p>
        </w:tc>
        <w:tc>
          <w:tcPr>
            <w:tcW w:w="448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ascii="Calibri" w:hAnsi="Calibri" w:eastAsia="宋体" w:cs="Times New Roman"/>
                <w:color w:val="auto"/>
                <w:spacing w:val="-11"/>
                <w:sz w:val="21"/>
                <w:szCs w:val="21"/>
              </w:rPr>
            </w:pPr>
            <w:r>
              <w:rPr>
                <w:rFonts w:hint="eastAsia" w:ascii="Calibri" w:hAnsi="Calibri" w:cs="Times New Roman"/>
                <w:color w:val="auto"/>
                <w:spacing w:val="-11"/>
                <w:sz w:val="21"/>
                <w:szCs w:val="21"/>
                <w:lang w:val="en-US" w:eastAsia="zh-CN"/>
              </w:rPr>
              <w:t>15</w:t>
            </w:r>
            <w:r>
              <w:rPr>
                <w:rFonts w:hint="eastAsia" w:ascii="Calibri" w:hAnsi="Calibri" w:eastAsia="宋体" w:cs="Times New Roman"/>
                <w:color w:val="auto"/>
                <w:spacing w:val="-11"/>
                <w:sz w:val="21"/>
                <w:szCs w:val="21"/>
              </w:rPr>
              <w:t>.单位地区生产总值二氧化碳排放降</w:t>
            </w:r>
            <w:r>
              <w:rPr>
                <w:rFonts w:hint="eastAsia" w:ascii="Calibri" w:hAnsi="Calibri" w:cs="Times New Roman"/>
                <w:color w:val="auto"/>
                <w:spacing w:val="-11"/>
                <w:sz w:val="21"/>
                <w:szCs w:val="21"/>
                <w:lang w:val="en-US" w:eastAsia="zh-CN"/>
              </w:rPr>
              <w:t>低</w:t>
            </w:r>
            <w:r>
              <w:rPr>
                <w:rFonts w:hint="eastAsia" w:ascii="Calibri" w:hAnsi="Calibri" w:eastAsia="宋体" w:cs="Times New Roman"/>
                <w:color w:val="auto"/>
                <w:spacing w:val="-11"/>
                <w:sz w:val="21"/>
                <w:szCs w:val="21"/>
              </w:rPr>
              <w:t>（%）</w:t>
            </w:r>
          </w:p>
        </w:tc>
        <w:tc>
          <w:tcPr>
            <w:tcW w:w="7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pacing w:val="-11"/>
                <w:sz w:val="21"/>
                <w:szCs w:val="21"/>
              </w:rPr>
            </w:pPr>
            <w:r>
              <w:rPr>
                <w:rFonts w:hint="eastAsia" w:ascii="Calibri" w:hAnsi="Calibri" w:cs="Times New Roman"/>
                <w:color w:val="002060"/>
                <w:spacing w:val="-11"/>
                <w:sz w:val="21"/>
                <w:szCs w:val="21"/>
                <w:lang w:val="en-US" w:eastAsia="zh-CN"/>
              </w:rPr>
              <w:t>13</w:t>
            </w:r>
          </w:p>
        </w:tc>
        <w:tc>
          <w:tcPr>
            <w:tcW w:w="2564"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Calibri" w:hAnsi="Calibri" w:eastAsia="宋体" w:cs="Times New Roman"/>
                <w:color w:val="FF0000"/>
                <w:spacing w:val="-11"/>
                <w:sz w:val="21"/>
                <w:szCs w:val="21"/>
              </w:rPr>
            </w:pPr>
            <w:r>
              <w:rPr>
                <w:rFonts w:hint="default" w:ascii="Calibri" w:hAnsi="Calibri" w:eastAsia="宋体" w:cs="Times New Roman"/>
                <w:color w:val="auto"/>
                <w:spacing w:val="-11"/>
                <w:sz w:val="21"/>
                <w:szCs w:val="21"/>
              </w:rPr>
              <w:t>控制在自治</w:t>
            </w:r>
            <w:r>
              <w:rPr>
                <w:rFonts w:hint="eastAsia" w:ascii="Calibri" w:hAnsi="Calibri" w:cs="Times New Roman"/>
                <w:color w:val="auto"/>
                <w:spacing w:val="-11"/>
                <w:sz w:val="21"/>
                <w:szCs w:val="21"/>
                <w:lang w:eastAsia="zh-CN"/>
              </w:rPr>
              <w:t>州</w:t>
            </w:r>
            <w:r>
              <w:rPr>
                <w:rFonts w:hint="default" w:ascii="Calibri" w:hAnsi="Calibri" w:eastAsia="宋体" w:cs="Times New Roman"/>
                <w:color w:val="auto"/>
                <w:spacing w:val="-11"/>
                <w:sz w:val="21"/>
                <w:szCs w:val="21"/>
              </w:rPr>
              <w:t>下达指标内</w:t>
            </w:r>
          </w:p>
        </w:tc>
        <w:tc>
          <w:tcPr>
            <w:tcW w:w="92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Calibri" w:hAnsi="Calibri" w:eastAsia="宋体" w:cs="Times New Roman"/>
                <w:color w:val="auto"/>
                <w:spacing w:val="-11"/>
                <w:sz w:val="21"/>
                <w:szCs w:val="21"/>
              </w:rPr>
            </w:pPr>
            <w:r>
              <w:rPr>
                <w:rFonts w:hint="eastAsia" w:ascii="Calibri" w:hAnsi="Calibri" w:eastAsia="宋体" w:cs="Times New Roman"/>
                <w:color w:val="auto"/>
                <w:spacing w:val="-11"/>
                <w:sz w:val="21"/>
                <w:szCs w:val="21"/>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72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422"/>
              <w:textAlignment w:val="auto"/>
              <w:rPr>
                <w:rFonts w:ascii="Calibri" w:hAnsi="Calibri" w:eastAsia="宋体" w:cs="Times New Roman"/>
                <w:b/>
                <w:color w:val="auto"/>
                <w:spacing w:val="-11"/>
                <w:sz w:val="21"/>
                <w:szCs w:val="21"/>
              </w:rPr>
            </w:pPr>
          </w:p>
        </w:tc>
        <w:tc>
          <w:tcPr>
            <w:tcW w:w="44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Calibri" w:hAnsi="Calibri" w:eastAsia="宋体" w:cs="Times New Roman"/>
                <w:color w:val="auto"/>
                <w:spacing w:val="-11"/>
                <w:sz w:val="21"/>
                <w:szCs w:val="21"/>
                <w:lang w:val="en-US" w:eastAsia="zh-CN"/>
              </w:rPr>
            </w:pPr>
            <w:r>
              <w:rPr>
                <w:rFonts w:hint="eastAsia" w:ascii="Calibri" w:hAnsi="Calibri" w:cs="Times New Roman"/>
                <w:color w:val="auto"/>
                <w:spacing w:val="-11"/>
                <w:sz w:val="21"/>
                <w:szCs w:val="21"/>
                <w:lang w:val="en-US" w:eastAsia="zh-CN"/>
              </w:rPr>
              <w:t>16</w:t>
            </w:r>
            <w:r>
              <w:rPr>
                <w:rFonts w:hint="eastAsia" w:ascii="Calibri" w:hAnsi="Calibri" w:eastAsia="宋体" w:cs="Times New Roman"/>
                <w:color w:val="auto"/>
                <w:spacing w:val="-11"/>
                <w:sz w:val="21"/>
                <w:szCs w:val="21"/>
                <w:lang w:val="en-US" w:eastAsia="zh-CN"/>
              </w:rPr>
              <w:t>.城市空气质量优良天数比率（%）</w:t>
            </w:r>
          </w:p>
        </w:tc>
        <w:tc>
          <w:tcPr>
            <w:tcW w:w="7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11"/>
                <w:sz w:val="21"/>
                <w:szCs w:val="21"/>
                <w:lang w:val="en-US" w:eastAsia="zh-CN"/>
              </w:rPr>
            </w:pPr>
            <w:r>
              <w:rPr>
                <w:rFonts w:hint="eastAsia" w:cs="Times New Roman"/>
                <w:color w:val="auto"/>
                <w:spacing w:val="-11"/>
                <w:sz w:val="21"/>
                <w:szCs w:val="21"/>
                <w:lang w:val="en-US" w:eastAsia="zh-CN"/>
              </w:rPr>
              <w:t>79.04</w:t>
            </w:r>
          </w:p>
        </w:tc>
        <w:tc>
          <w:tcPr>
            <w:tcW w:w="256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Calibri" w:hAnsi="Calibri" w:eastAsia="宋体" w:cs="Times New Roman"/>
                <w:color w:val="auto"/>
                <w:spacing w:val="-11"/>
                <w:sz w:val="21"/>
                <w:szCs w:val="21"/>
                <w:lang w:val="en-US" w:eastAsia="zh-CN"/>
              </w:rPr>
            </w:pPr>
            <w:r>
              <w:rPr>
                <w:rFonts w:hint="default" w:ascii="Calibri" w:hAnsi="Calibri" w:eastAsia="宋体" w:cs="Times New Roman"/>
                <w:color w:val="auto"/>
                <w:spacing w:val="-11"/>
                <w:sz w:val="21"/>
                <w:szCs w:val="21"/>
              </w:rPr>
              <w:t>控制在自治</w:t>
            </w:r>
            <w:r>
              <w:rPr>
                <w:rFonts w:hint="eastAsia" w:ascii="Calibri" w:hAnsi="Calibri" w:cs="Times New Roman"/>
                <w:color w:val="auto"/>
                <w:spacing w:val="-11"/>
                <w:sz w:val="21"/>
                <w:szCs w:val="21"/>
                <w:lang w:eastAsia="zh-CN"/>
              </w:rPr>
              <w:t>州</w:t>
            </w:r>
            <w:r>
              <w:rPr>
                <w:rFonts w:hint="default" w:ascii="Calibri" w:hAnsi="Calibri" w:eastAsia="宋体" w:cs="Times New Roman"/>
                <w:color w:val="auto"/>
                <w:spacing w:val="-11"/>
                <w:sz w:val="21"/>
                <w:szCs w:val="21"/>
              </w:rPr>
              <w:t>下达指标内</w:t>
            </w:r>
          </w:p>
        </w:tc>
        <w:tc>
          <w:tcPr>
            <w:tcW w:w="9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Calibri" w:hAnsi="Calibri" w:eastAsia="宋体" w:cs="Times New Roman"/>
                <w:color w:val="auto"/>
                <w:spacing w:val="-11"/>
                <w:sz w:val="21"/>
                <w:szCs w:val="21"/>
              </w:rPr>
            </w:pPr>
            <w:r>
              <w:rPr>
                <w:rFonts w:hint="eastAsia" w:ascii="Calibri" w:hAnsi="Calibri" w:eastAsia="宋体" w:cs="Times New Roman"/>
                <w:color w:val="auto"/>
                <w:spacing w:val="-11"/>
                <w:sz w:val="21"/>
                <w:szCs w:val="21"/>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Calibri" w:hAnsi="Calibri" w:eastAsia="宋体" w:cs="Times New Roman"/>
                <w:b/>
                <w:color w:val="auto"/>
                <w:spacing w:val="-11"/>
                <w:sz w:val="21"/>
                <w:szCs w:val="21"/>
              </w:rPr>
            </w:pPr>
          </w:p>
        </w:tc>
        <w:tc>
          <w:tcPr>
            <w:tcW w:w="44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Calibri" w:hAnsi="Calibri" w:eastAsia="宋体" w:cs="Times New Roman"/>
                <w:color w:val="auto"/>
                <w:spacing w:val="-11"/>
                <w:sz w:val="21"/>
                <w:szCs w:val="21"/>
              </w:rPr>
            </w:pPr>
            <w:r>
              <w:rPr>
                <w:rFonts w:hint="eastAsia" w:ascii="Calibri" w:hAnsi="Calibri" w:cs="Times New Roman"/>
                <w:color w:val="auto"/>
                <w:spacing w:val="-11"/>
                <w:sz w:val="21"/>
                <w:szCs w:val="21"/>
                <w:lang w:val="en-US" w:eastAsia="zh-CN"/>
              </w:rPr>
              <w:t>17</w:t>
            </w:r>
            <w:r>
              <w:rPr>
                <w:rFonts w:hint="eastAsia" w:ascii="Calibri" w:hAnsi="Calibri" w:eastAsia="宋体" w:cs="Times New Roman"/>
                <w:color w:val="auto"/>
                <w:spacing w:val="-11"/>
                <w:sz w:val="21"/>
                <w:szCs w:val="21"/>
              </w:rPr>
              <w:t>.</w:t>
            </w:r>
            <w:r>
              <w:rPr>
                <w:rFonts w:hint="eastAsia" w:ascii="Calibri" w:hAnsi="Calibri" w:eastAsia="宋体" w:cs="Times New Roman"/>
                <w:color w:val="auto"/>
                <w:spacing w:val="-11"/>
                <w:sz w:val="21"/>
                <w:szCs w:val="21"/>
                <w:highlight w:val="none"/>
                <w:lang w:val="en-US" w:eastAsia="zh-CN"/>
              </w:rPr>
              <w:t>河流水质</w:t>
            </w:r>
            <w:r>
              <w:rPr>
                <w:rFonts w:hint="eastAsia" w:ascii="Calibri" w:hAnsi="Calibri" w:eastAsia="宋体" w:cs="Times New Roman"/>
                <w:color w:val="auto"/>
                <w:spacing w:val="-11"/>
                <w:sz w:val="21"/>
                <w:szCs w:val="21"/>
              </w:rPr>
              <w:t>达到或好于Ⅲ类水体占地表水比例（%）</w:t>
            </w:r>
          </w:p>
        </w:tc>
        <w:tc>
          <w:tcPr>
            <w:tcW w:w="7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11"/>
                <w:sz w:val="21"/>
                <w:szCs w:val="21"/>
                <w:lang w:val="en-US" w:eastAsia="zh-CN"/>
              </w:rPr>
            </w:pPr>
            <w:r>
              <w:rPr>
                <w:rFonts w:hint="eastAsia" w:cs="Times New Roman"/>
                <w:color w:val="auto"/>
                <w:spacing w:val="-11"/>
                <w:sz w:val="21"/>
                <w:szCs w:val="21"/>
                <w:lang w:val="en-US" w:eastAsia="zh-CN"/>
              </w:rPr>
              <w:t>100</w:t>
            </w:r>
          </w:p>
        </w:tc>
        <w:tc>
          <w:tcPr>
            <w:tcW w:w="8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11"/>
                <w:sz w:val="21"/>
                <w:szCs w:val="21"/>
                <w:lang w:val="en-US" w:eastAsia="zh-CN"/>
              </w:rPr>
            </w:pPr>
            <w:r>
              <w:rPr>
                <w:rFonts w:hint="default" w:ascii="Times New Roman" w:hAnsi="Times New Roman" w:eastAsia="宋体" w:cs="Times New Roman"/>
                <w:color w:val="auto"/>
                <w:spacing w:val="-11"/>
                <w:sz w:val="21"/>
                <w:szCs w:val="21"/>
                <w:lang w:val="en-US" w:eastAsia="zh-CN"/>
              </w:rPr>
              <w:t>100</w:t>
            </w:r>
          </w:p>
        </w:tc>
        <w:tc>
          <w:tcPr>
            <w:tcW w:w="1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Calibri" w:hAnsi="Calibri" w:eastAsia="宋体" w:cs="Times New Roman"/>
                <w:color w:val="auto"/>
                <w:spacing w:val="-11"/>
                <w:sz w:val="21"/>
                <w:szCs w:val="21"/>
                <w:lang w:val="en-US" w:eastAsia="zh-CN"/>
              </w:rPr>
            </w:pPr>
            <w:r>
              <w:rPr>
                <w:rFonts w:hint="eastAsia" w:ascii="Calibri" w:hAnsi="Calibri" w:cs="Times New Roman"/>
                <w:color w:val="auto"/>
                <w:spacing w:val="-11"/>
                <w:sz w:val="21"/>
                <w:szCs w:val="21"/>
                <w:lang w:val="en-US" w:eastAsia="zh-CN"/>
              </w:rPr>
              <w:t>2.7</w:t>
            </w:r>
          </w:p>
        </w:tc>
        <w:tc>
          <w:tcPr>
            <w:tcW w:w="9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Calibri" w:hAnsi="Calibri" w:eastAsia="宋体" w:cs="Times New Roman"/>
                <w:color w:val="auto"/>
                <w:spacing w:val="-11"/>
                <w:sz w:val="21"/>
                <w:szCs w:val="21"/>
              </w:rPr>
            </w:pPr>
            <w:r>
              <w:rPr>
                <w:rFonts w:hint="eastAsia" w:ascii="Calibri" w:hAnsi="Calibri" w:eastAsia="宋体" w:cs="Times New Roman"/>
                <w:color w:val="auto"/>
                <w:spacing w:val="-11"/>
                <w:sz w:val="21"/>
                <w:szCs w:val="21"/>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72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Calibri" w:hAnsi="Calibri" w:eastAsia="宋体" w:cs="Times New Roman"/>
                <w:b/>
                <w:color w:val="auto"/>
                <w:spacing w:val="-11"/>
                <w:sz w:val="21"/>
                <w:szCs w:val="21"/>
              </w:rPr>
            </w:pPr>
          </w:p>
        </w:tc>
        <w:tc>
          <w:tcPr>
            <w:tcW w:w="44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Calibri" w:hAnsi="Calibri" w:eastAsia="宋体" w:cs="Times New Roman"/>
                <w:color w:val="auto"/>
                <w:spacing w:val="-11"/>
                <w:sz w:val="21"/>
                <w:szCs w:val="21"/>
              </w:rPr>
            </w:pPr>
            <w:r>
              <w:rPr>
                <w:rFonts w:hint="eastAsia" w:ascii="Calibri" w:hAnsi="Calibri" w:cs="Times New Roman"/>
                <w:color w:val="auto"/>
                <w:spacing w:val="-11"/>
                <w:sz w:val="21"/>
                <w:szCs w:val="21"/>
                <w:lang w:val="en-US" w:eastAsia="zh-CN"/>
              </w:rPr>
              <w:t>18</w:t>
            </w:r>
            <w:r>
              <w:rPr>
                <w:rFonts w:hint="eastAsia" w:ascii="Calibri" w:hAnsi="Calibri" w:eastAsia="宋体" w:cs="Times New Roman"/>
                <w:color w:val="auto"/>
                <w:spacing w:val="-11"/>
                <w:sz w:val="21"/>
                <w:szCs w:val="21"/>
              </w:rPr>
              <w:t>.森林覆盖率（%）</w:t>
            </w:r>
          </w:p>
        </w:tc>
        <w:tc>
          <w:tcPr>
            <w:tcW w:w="7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pacing w:val="-11"/>
                <w:sz w:val="21"/>
                <w:szCs w:val="21"/>
                <w:lang w:eastAsia="zh-CN"/>
              </w:rPr>
            </w:pPr>
            <w:r>
              <w:rPr>
                <w:rFonts w:hint="eastAsia" w:cs="Times New Roman"/>
                <w:color w:val="auto"/>
                <w:spacing w:val="-11"/>
                <w:sz w:val="21"/>
                <w:szCs w:val="21"/>
                <w:lang w:val="en-US" w:eastAsia="zh-CN"/>
              </w:rPr>
              <w:t>85</w:t>
            </w:r>
          </w:p>
        </w:tc>
        <w:tc>
          <w:tcPr>
            <w:tcW w:w="8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pacing w:val="-11"/>
                <w:sz w:val="21"/>
                <w:szCs w:val="21"/>
                <w:lang w:eastAsia="zh-CN"/>
              </w:rPr>
            </w:pPr>
            <w:r>
              <w:rPr>
                <w:rFonts w:hint="eastAsia" w:cs="Times New Roman"/>
                <w:color w:val="auto"/>
                <w:spacing w:val="-11"/>
                <w:sz w:val="21"/>
                <w:szCs w:val="21"/>
                <w:lang w:val="en-US" w:eastAsia="zh-CN"/>
              </w:rPr>
              <w:t>85.6%</w:t>
            </w:r>
          </w:p>
        </w:tc>
        <w:tc>
          <w:tcPr>
            <w:tcW w:w="1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Calibri" w:hAnsi="Calibri" w:eastAsia="宋体" w:cs="Times New Roman"/>
                <w:color w:val="auto"/>
                <w:spacing w:val="-11"/>
                <w:sz w:val="21"/>
                <w:szCs w:val="21"/>
              </w:rPr>
            </w:pPr>
            <w:r>
              <w:rPr>
                <w:rFonts w:hint="default" w:ascii="Times New Roman" w:hAnsi="Times New Roman" w:eastAsia="宋体" w:cs="Times New Roman"/>
                <w:color w:val="auto"/>
                <w:spacing w:val="-11"/>
                <w:sz w:val="21"/>
                <w:szCs w:val="21"/>
              </w:rPr>
              <w:t>—</w:t>
            </w:r>
          </w:p>
        </w:tc>
        <w:tc>
          <w:tcPr>
            <w:tcW w:w="9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Calibri" w:hAnsi="Calibri" w:eastAsia="宋体" w:cs="Times New Roman"/>
                <w:color w:val="auto"/>
                <w:spacing w:val="-11"/>
                <w:sz w:val="21"/>
                <w:szCs w:val="21"/>
              </w:rPr>
            </w:pPr>
            <w:r>
              <w:rPr>
                <w:rFonts w:hint="eastAsia" w:ascii="Calibri" w:hAnsi="Calibri" w:eastAsia="宋体" w:cs="Times New Roman"/>
                <w:color w:val="auto"/>
                <w:spacing w:val="-11"/>
                <w:sz w:val="21"/>
                <w:szCs w:val="21"/>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72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default" w:ascii="Calibri" w:hAnsi="Calibri" w:eastAsia="宋体" w:cs="Times New Roman"/>
                <w:b/>
                <w:bCs/>
                <w:color w:val="auto"/>
                <w:spacing w:val="-11"/>
                <w:sz w:val="21"/>
                <w:szCs w:val="21"/>
                <w:lang w:val="en-US" w:eastAsia="zh-CN"/>
              </w:rPr>
            </w:pPr>
            <w:r>
              <w:rPr>
                <w:rFonts w:hint="eastAsia" w:ascii="Calibri" w:hAnsi="Calibri" w:cs="Times New Roman"/>
                <w:b/>
                <w:bCs/>
                <w:color w:val="auto"/>
                <w:spacing w:val="-11"/>
                <w:sz w:val="21"/>
                <w:szCs w:val="21"/>
                <w:lang w:val="en-US" w:eastAsia="zh-CN"/>
              </w:rPr>
              <w:t>安全保 障</w:t>
            </w:r>
          </w:p>
        </w:tc>
        <w:tc>
          <w:tcPr>
            <w:tcW w:w="44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Calibri" w:hAnsi="Calibri" w:eastAsia="宋体" w:cs="Times New Roman"/>
                <w:color w:val="auto"/>
                <w:spacing w:val="-11"/>
                <w:sz w:val="21"/>
                <w:szCs w:val="21"/>
              </w:rPr>
            </w:pPr>
            <w:r>
              <w:rPr>
                <w:rFonts w:hint="eastAsia" w:ascii="Calibri" w:hAnsi="Calibri" w:cs="Times New Roman"/>
                <w:color w:val="auto"/>
                <w:spacing w:val="-11"/>
                <w:sz w:val="21"/>
                <w:szCs w:val="21"/>
                <w:lang w:val="en-US" w:eastAsia="zh-CN"/>
              </w:rPr>
              <w:t>19</w:t>
            </w:r>
            <w:r>
              <w:rPr>
                <w:rFonts w:hint="eastAsia" w:ascii="Calibri" w:hAnsi="Calibri" w:eastAsia="宋体" w:cs="Times New Roman"/>
                <w:color w:val="auto"/>
                <w:spacing w:val="-11"/>
                <w:sz w:val="21"/>
                <w:szCs w:val="21"/>
              </w:rPr>
              <w:t>.粮食综合生产能力</w:t>
            </w:r>
            <w:r>
              <w:rPr>
                <w:rFonts w:hint="eastAsia" w:cs="Times New Roman"/>
                <w:color w:val="auto"/>
                <w:spacing w:val="-11"/>
                <w:sz w:val="21"/>
                <w:szCs w:val="21"/>
              </w:rPr>
              <w:t>（万吨）</w:t>
            </w:r>
          </w:p>
        </w:tc>
        <w:tc>
          <w:tcPr>
            <w:tcW w:w="7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11"/>
                <w:sz w:val="21"/>
                <w:szCs w:val="21"/>
                <w:lang w:val="en-US" w:eastAsia="zh-CN"/>
              </w:rPr>
            </w:pPr>
            <w:r>
              <w:rPr>
                <w:rFonts w:hint="eastAsia" w:cs="Times New Roman"/>
                <w:color w:val="auto"/>
                <w:spacing w:val="-11"/>
                <w:sz w:val="21"/>
                <w:szCs w:val="21"/>
                <w:lang w:val="en-US" w:eastAsia="zh-CN"/>
              </w:rPr>
              <w:t>8.43</w:t>
            </w:r>
          </w:p>
        </w:tc>
        <w:tc>
          <w:tcPr>
            <w:tcW w:w="8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11"/>
                <w:sz w:val="21"/>
                <w:szCs w:val="21"/>
                <w:lang w:val="en-US" w:eastAsia="zh-CN"/>
              </w:rPr>
            </w:pPr>
            <w:r>
              <w:rPr>
                <w:rFonts w:hint="eastAsia" w:cs="Times New Roman"/>
                <w:color w:val="auto"/>
                <w:spacing w:val="-11"/>
                <w:sz w:val="21"/>
                <w:szCs w:val="21"/>
                <w:lang w:val="en-US" w:eastAsia="zh-CN"/>
              </w:rPr>
              <w:t>≥9.4</w:t>
            </w:r>
          </w:p>
        </w:tc>
        <w:tc>
          <w:tcPr>
            <w:tcW w:w="1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Calibri" w:hAnsi="Calibri" w:eastAsia="宋体" w:cs="Times New Roman"/>
                <w:color w:val="auto"/>
                <w:spacing w:val="-11"/>
                <w:sz w:val="21"/>
                <w:szCs w:val="21"/>
                <w:lang w:val="en-US" w:eastAsia="zh-CN"/>
              </w:rPr>
            </w:pPr>
            <w:r>
              <w:rPr>
                <w:rFonts w:hint="eastAsia" w:cs="Times New Roman"/>
                <w:color w:val="auto"/>
                <w:spacing w:val="-11"/>
                <w:sz w:val="21"/>
                <w:szCs w:val="21"/>
                <w:lang w:val="en-US" w:eastAsia="zh-CN"/>
              </w:rPr>
              <w:t>—</w:t>
            </w:r>
          </w:p>
        </w:tc>
        <w:tc>
          <w:tcPr>
            <w:tcW w:w="9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Calibri" w:hAnsi="Calibri" w:eastAsia="宋体" w:cs="Times New Roman"/>
                <w:color w:val="auto"/>
                <w:spacing w:val="-11"/>
                <w:sz w:val="21"/>
                <w:szCs w:val="21"/>
              </w:rPr>
            </w:pPr>
            <w:r>
              <w:rPr>
                <w:rFonts w:hint="eastAsia" w:ascii="Calibri" w:hAnsi="Calibri" w:eastAsia="宋体" w:cs="Times New Roman"/>
                <w:color w:val="auto"/>
                <w:spacing w:val="-11"/>
                <w:sz w:val="21"/>
                <w:szCs w:val="21"/>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72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Calibri" w:hAnsi="Calibri" w:eastAsia="宋体" w:cs="Times New Roman"/>
                <w:color w:val="auto"/>
                <w:spacing w:val="-11"/>
                <w:sz w:val="21"/>
                <w:szCs w:val="21"/>
                <w:lang w:val="en-US" w:eastAsia="zh-CN"/>
              </w:rPr>
            </w:pPr>
          </w:p>
        </w:tc>
        <w:tc>
          <w:tcPr>
            <w:tcW w:w="44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Calibri" w:hAnsi="Calibri" w:eastAsia="宋体" w:cs="Times New Roman"/>
                <w:color w:val="auto"/>
                <w:spacing w:val="-11"/>
                <w:sz w:val="21"/>
                <w:szCs w:val="21"/>
                <w:lang w:val="en-US" w:eastAsia="zh-CN"/>
              </w:rPr>
            </w:pPr>
            <w:r>
              <w:rPr>
                <w:rFonts w:hint="eastAsia" w:ascii="Calibri" w:hAnsi="Calibri" w:eastAsia="宋体" w:cs="Times New Roman"/>
                <w:color w:val="auto"/>
                <w:spacing w:val="-11"/>
                <w:sz w:val="21"/>
                <w:szCs w:val="21"/>
                <w:lang w:val="en-US" w:eastAsia="zh-CN"/>
              </w:rPr>
              <w:t>2</w:t>
            </w:r>
            <w:r>
              <w:rPr>
                <w:rFonts w:hint="eastAsia" w:ascii="Calibri" w:hAnsi="Calibri" w:cs="Times New Roman"/>
                <w:color w:val="auto"/>
                <w:spacing w:val="-11"/>
                <w:sz w:val="21"/>
                <w:szCs w:val="21"/>
                <w:lang w:val="en-US" w:eastAsia="zh-CN"/>
              </w:rPr>
              <w:t>0</w:t>
            </w:r>
            <w:r>
              <w:rPr>
                <w:rFonts w:hint="eastAsia" w:ascii="Calibri" w:hAnsi="Calibri" w:eastAsia="宋体" w:cs="Times New Roman"/>
                <w:color w:val="auto"/>
                <w:spacing w:val="-11"/>
                <w:sz w:val="21"/>
                <w:szCs w:val="21"/>
                <w:lang w:val="en-US" w:eastAsia="zh-CN"/>
              </w:rPr>
              <w:t>.能源</w:t>
            </w:r>
            <w:r>
              <w:rPr>
                <w:rFonts w:hint="eastAsia" w:ascii="Calibri" w:hAnsi="Calibri" w:cs="Times New Roman"/>
                <w:color w:val="auto"/>
                <w:spacing w:val="-11"/>
                <w:sz w:val="21"/>
                <w:szCs w:val="21"/>
                <w:lang w:val="en-US" w:eastAsia="zh-CN"/>
              </w:rPr>
              <w:t>综合生产能力（万</w:t>
            </w:r>
            <w:r>
              <w:rPr>
                <w:rFonts w:hint="eastAsia" w:ascii="Calibri" w:hAnsi="Calibri" w:eastAsia="宋体" w:cs="Times New Roman"/>
                <w:color w:val="auto"/>
                <w:spacing w:val="-11"/>
                <w:sz w:val="21"/>
                <w:szCs w:val="21"/>
                <w:lang w:val="en-US" w:eastAsia="zh-CN"/>
              </w:rPr>
              <w:t>吨标煤）</w:t>
            </w:r>
          </w:p>
        </w:tc>
        <w:tc>
          <w:tcPr>
            <w:tcW w:w="7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11"/>
                <w:sz w:val="21"/>
                <w:szCs w:val="21"/>
                <w:lang w:val="en-US" w:eastAsia="zh-CN"/>
              </w:rPr>
            </w:pPr>
            <w:r>
              <w:rPr>
                <w:rFonts w:hint="eastAsia" w:cs="Times New Roman"/>
                <w:color w:val="auto"/>
                <w:spacing w:val="-11"/>
                <w:sz w:val="21"/>
                <w:szCs w:val="21"/>
                <w:lang w:val="en-US" w:eastAsia="zh-CN"/>
              </w:rPr>
              <w:t>—</w:t>
            </w:r>
          </w:p>
        </w:tc>
        <w:tc>
          <w:tcPr>
            <w:tcW w:w="8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11"/>
                <w:sz w:val="21"/>
                <w:szCs w:val="21"/>
                <w:lang w:val="en-US" w:eastAsia="zh-CN"/>
              </w:rPr>
            </w:pPr>
            <w:r>
              <w:rPr>
                <w:rFonts w:hint="eastAsia" w:cs="Times New Roman"/>
                <w:color w:val="auto"/>
                <w:spacing w:val="-11"/>
                <w:sz w:val="21"/>
                <w:szCs w:val="21"/>
                <w:lang w:val="en-US" w:eastAsia="zh-CN"/>
              </w:rPr>
              <w:t>≥0.6</w:t>
            </w:r>
          </w:p>
        </w:tc>
        <w:tc>
          <w:tcPr>
            <w:tcW w:w="1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Calibri" w:hAnsi="Calibri" w:eastAsia="宋体" w:cs="Times New Roman"/>
                <w:color w:val="FF0000"/>
                <w:spacing w:val="-11"/>
                <w:sz w:val="21"/>
                <w:szCs w:val="21"/>
                <w:lang w:val="en-US" w:eastAsia="zh-CN"/>
              </w:rPr>
            </w:pPr>
            <w:r>
              <w:rPr>
                <w:rFonts w:hint="eastAsia" w:cs="Times New Roman"/>
                <w:color w:val="auto"/>
                <w:spacing w:val="-11"/>
                <w:sz w:val="21"/>
                <w:szCs w:val="21"/>
                <w:lang w:val="en-US" w:eastAsia="zh-CN"/>
              </w:rPr>
              <w:t>—</w:t>
            </w:r>
          </w:p>
        </w:tc>
        <w:tc>
          <w:tcPr>
            <w:tcW w:w="9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Calibri" w:hAnsi="Calibri" w:eastAsia="宋体" w:cs="Times New Roman"/>
                <w:color w:val="auto"/>
                <w:spacing w:val="-11"/>
                <w:sz w:val="21"/>
                <w:szCs w:val="21"/>
              </w:rPr>
            </w:pPr>
            <w:r>
              <w:rPr>
                <w:rFonts w:hint="eastAsia" w:ascii="Calibri" w:hAnsi="Calibri" w:eastAsia="宋体" w:cs="Times New Roman"/>
                <w:color w:val="auto"/>
                <w:spacing w:val="-11"/>
                <w:sz w:val="21"/>
                <w:szCs w:val="21"/>
              </w:rPr>
              <w:t>约束性</w:t>
            </w:r>
          </w:p>
        </w:tc>
      </w:tr>
    </w:tbl>
    <w:p>
      <w:pPr>
        <w:pStyle w:val="5"/>
        <w:ind w:left="0" w:leftChars="0" w:firstLine="0" w:firstLineChars="0"/>
        <w:rPr>
          <w:rFonts w:hint="eastAsia" w:asciiTheme="minorEastAsia" w:hAnsiTheme="minorEastAsia" w:eastAsiaTheme="minorEastAsia" w:cstheme="minorEastAsia"/>
          <w:b w:val="0"/>
          <w:bCs/>
          <w:i w:val="0"/>
          <w:caps w:val="0"/>
          <w:color w:val="000000"/>
          <w:spacing w:val="0"/>
          <w:kern w:val="0"/>
          <w:sz w:val="30"/>
          <w:szCs w:val="30"/>
          <w:shd w:val="clear" w:fill="FFFFFF"/>
          <w:lang w:val="en-US" w:eastAsia="zh-CN" w:bidi="ar"/>
        </w:rPr>
      </w:pPr>
    </w:p>
    <w:p>
      <w:pPr>
        <w:pStyle w:val="7"/>
        <w:keepNext/>
        <w:keepLines/>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1"/>
        <w:rPr>
          <w:rFonts w:hint="default" w:ascii="方正楷体_GBK" w:hAnsi="方正楷体_GBK" w:eastAsia="方正楷体_GBK" w:cs="方正楷体_GBK"/>
          <w:b w:val="0"/>
          <w:bCs/>
          <w:sz w:val="31"/>
          <w:szCs w:val="31"/>
          <w:lang w:val="en-US" w:eastAsia="zh-CN"/>
        </w:rPr>
      </w:pPr>
      <w:bookmarkStart w:id="76" w:name="_Toc2494"/>
      <w:r>
        <w:rPr>
          <w:rFonts w:hint="default" w:ascii="方正楷体_GBK" w:hAnsi="方正楷体_GBK" w:eastAsia="方正楷体_GBK" w:cs="方正楷体_GBK"/>
          <w:b w:val="0"/>
          <w:bCs/>
          <w:sz w:val="31"/>
          <w:szCs w:val="31"/>
          <w:lang w:val="en-US" w:eastAsia="zh-CN"/>
        </w:rPr>
        <w:t>第四节  二〇三五年远景目标</w:t>
      </w:r>
      <w:bookmarkEnd w:id="75"/>
      <w:bookmarkEnd w:id="76"/>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全县经济实力、综合实力大幅跃升，经济总量和城乡居民人均收入迈上新的大台阶；基本实现新型工业化、信息化、城镇化、农业现代化；社会稳定和长治久安基础更加牢固，基本实现治理体系和治理能力现代化，法治焉耆、平安焉耆建设达到更高水平；人的全面发展、全体人民共同富裕取得更为明显的实质性进展，人民平等参与、平等发展权利得到充分保障；生态环境更加优良；城市品质和功能全面提升，城市管理水平更加精细；社会事业全面进步，基本公共服务实现均等化，城乡区域发展差距和居民生活水平差距显著缩小；焉耆与全国全疆全州同步基本实现社会主义现代化。</w:t>
      </w:r>
    </w:p>
    <w:p>
      <w:pPr>
        <w:pStyle w:val="6"/>
        <w:keepNext/>
        <w:keepLines/>
        <w:pageBreakBefore w:val="0"/>
        <w:widowControl w:val="0"/>
        <w:kinsoku/>
        <w:wordWrap/>
        <w:overflowPunct/>
        <w:topLinePunct w:val="0"/>
        <w:autoSpaceDE/>
        <w:autoSpaceDN/>
        <w:bidi w:val="0"/>
        <w:adjustRightInd/>
        <w:snapToGrid/>
        <w:spacing w:before="0" w:after="0" w:line="600" w:lineRule="exact"/>
        <w:jc w:val="center"/>
        <w:textAlignment w:val="auto"/>
        <w:outlineLvl w:val="9"/>
        <w:rPr>
          <w:rFonts w:hint="default" w:ascii="方正黑体_GBK" w:hAnsi="方正黑体_GBK" w:eastAsia="方正黑体_GBK" w:cs="方正黑体_GBK"/>
          <w:b w:val="0"/>
          <w:bCs w:val="0"/>
          <w:sz w:val="31"/>
          <w:szCs w:val="31"/>
          <w:lang w:val="en-US" w:eastAsia="zh-CN"/>
        </w:rPr>
      </w:pPr>
      <w:bookmarkStart w:id="77" w:name="_Toc839"/>
      <w:bookmarkStart w:id="78" w:name="_Toc21372"/>
      <w:bookmarkStart w:id="79" w:name="_Toc2019"/>
    </w:p>
    <w:p>
      <w:pPr>
        <w:pStyle w:val="6"/>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黑体_GBK" w:hAnsi="方正黑体_GBK" w:eastAsia="方正黑体_GBK" w:cs="方正黑体_GBK"/>
          <w:b w:val="0"/>
          <w:bCs w:val="0"/>
          <w:sz w:val="31"/>
          <w:szCs w:val="31"/>
          <w:lang w:val="en-US" w:eastAsia="zh-CN"/>
        </w:rPr>
      </w:pPr>
      <w:bookmarkStart w:id="80" w:name="_Toc30710"/>
      <w:bookmarkStart w:id="81" w:name="_Toc18751"/>
      <w:bookmarkStart w:id="82" w:name="_Toc21902"/>
      <w:bookmarkStart w:id="83" w:name="_Toc28084"/>
      <w:bookmarkStart w:id="84" w:name="_Toc30232"/>
      <w:r>
        <w:rPr>
          <w:rFonts w:hint="default" w:ascii="方正黑体_GBK" w:hAnsi="方正黑体_GBK" w:eastAsia="方正黑体_GBK" w:cs="方正黑体_GBK"/>
          <w:b w:val="0"/>
          <w:bCs w:val="0"/>
          <w:sz w:val="31"/>
          <w:szCs w:val="31"/>
          <w:lang w:val="en-US" w:eastAsia="zh-CN"/>
        </w:rPr>
        <w:t>第三章  加快推动区域协同发展，稳步推进新型城镇化</w:t>
      </w:r>
      <w:bookmarkEnd w:id="77"/>
      <w:bookmarkEnd w:id="78"/>
      <w:bookmarkEnd w:id="79"/>
      <w:bookmarkEnd w:id="80"/>
      <w:bookmarkEnd w:id="81"/>
      <w:bookmarkEnd w:id="82"/>
      <w:bookmarkEnd w:id="83"/>
      <w:bookmarkEnd w:id="84"/>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eastAsia="zh-CN"/>
        </w:rPr>
      </w:pPr>
      <w:r>
        <w:rPr>
          <w:rFonts w:hint="default" w:ascii="Times New Roman" w:hAnsi="Times New Roman" w:eastAsia="方正仿宋_GBK" w:cs="Times New Roman"/>
          <w:sz w:val="31"/>
          <w:szCs w:val="31"/>
          <w:lang w:eastAsia="zh-CN"/>
        </w:rPr>
        <w:t>围绕州委确定的焉耆盆地城市群中心科学定位，持续推进东扩南连“一核心、五节点”布局，</w:t>
      </w:r>
      <w:r>
        <w:rPr>
          <w:rFonts w:hint="default" w:ascii="Times New Roman" w:hAnsi="Times New Roman" w:eastAsia="方正仿宋_GBK" w:cs="Times New Roman"/>
          <w:sz w:val="31"/>
          <w:szCs w:val="31"/>
          <w:lang w:val="en-US" w:eastAsia="zh-CN"/>
        </w:rPr>
        <w:t>不断加快焉耆盆地“六个中心”建设，</w:t>
      </w:r>
      <w:r>
        <w:rPr>
          <w:rFonts w:hint="default" w:ascii="Times New Roman" w:hAnsi="Times New Roman" w:eastAsia="方正仿宋_GBK" w:cs="Times New Roman"/>
          <w:color w:val="auto"/>
          <w:sz w:val="31"/>
          <w:szCs w:val="31"/>
          <w:lang w:val="en-US" w:eastAsia="zh-CN"/>
        </w:rPr>
        <w:t>加快南连“五节点”总体规划及各专项规划编制。坚持跳出焉耆看焉耆，跳出巴州看焉耆，高起点定位，加快编制总体规划和各专项规划，统筹推进国土空间、城市品质提升及道路、水系、管网、绿化等多规合</w:t>
      </w:r>
      <w:r>
        <w:rPr>
          <w:rFonts w:hint="eastAsia" w:ascii="Times New Roman" w:hAnsi="Times New Roman" w:eastAsia="方正仿宋_GBK" w:cs="Times New Roman"/>
          <w:color w:val="auto"/>
          <w:sz w:val="31"/>
          <w:szCs w:val="31"/>
          <w:lang w:val="en-US" w:eastAsia="zh-CN"/>
        </w:rPr>
        <w:t>一</w:t>
      </w:r>
      <w:r>
        <w:rPr>
          <w:rFonts w:hint="default" w:ascii="Times New Roman" w:hAnsi="Times New Roman" w:eastAsia="方正仿宋_GBK" w:cs="Times New Roman"/>
          <w:color w:val="auto"/>
          <w:sz w:val="31"/>
          <w:szCs w:val="31"/>
          <w:lang w:val="en-US" w:eastAsia="zh-CN"/>
        </w:rPr>
        <w:t>打造</w:t>
      </w:r>
      <w:r>
        <w:rPr>
          <w:rFonts w:hint="eastAsia" w:ascii="Times New Roman" w:hAnsi="Times New Roman" w:eastAsia="方正仿宋_GBK" w:cs="Times New Roman"/>
          <w:color w:val="auto"/>
          <w:sz w:val="31"/>
          <w:szCs w:val="31"/>
          <w:lang w:val="en-US" w:eastAsia="zh-CN"/>
        </w:rPr>
        <w:t>开都河南岸组团</w:t>
      </w:r>
      <w:r>
        <w:rPr>
          <w:rFonts w:hint="default" w:ascii="Times New Roman" w:hAnsi="Times New Roman" w:eastAsia="方正仿宋_GBK" w:cs="Times New Roman"/>
          <w:color w:val="auto"/>
          <w:sz w:val="31"/>
          <w:szCs w:val="31"/>
          <w:lang w:val="en-US" w:eastAsia="zh-CN"/>
        </w:rPr>
        <w:t>、第二师二十七团、四十里城子镇、相思湖景区、河北巴州生态产业园“五个节点”，为焉耆打造城市群中心提供有力支撑。</w:t>
      </w:r>
    </w:p>
    <w:p>
      <w:pPr>
        <w:rPr>
          <w:rFonts w:hint="default"/>
          <w:lang w:val="en-US" w:eastAsia="zh-CN"/>
        </w:rPr>
      </w:pPr>
      <w:bookmarkStart w:id="85" w:name="_Toc19475"/>
      <w:bookmarkStart w:id="86" w:name="_Toc29006"/>
      <w:bookmarkStart w:id="87" w:name="_Toc28542"/>
    </w:p>
    <w:p>
      <w:pPr>
        <w:pStyle w:val="7"/>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楷体_GBK" w:hAnsi="方正楷体_GBK" w:eastAsia="方正楷体_GBK" w:cs="方正楷体_GBK"/>
          <w:b w:val="0"/>
          <w:bCs/>
          <w:sz w:val="31"/>
          <w:szCs w:val="31"/>
          <w:lang w:val="en-US" w:eastAsia="zh-CN"/>
        </w:rPr>
      </w:pPr>
      <w:bookmarkStart w:id="88" w:name="_Toc3686"/>
      <w:bookmarkStart w:id="89" w:name="_Toc8161"/>
      <w:bookmarkStart w:id="90" w:name="_Toc7004"/>
      <w:bookmarkStart w:id="91" w:name="_Toc23687"/>
      <w:bookmarkStart w:id="92" w:name="_Toc26877"/>
      <w:r>
        <w:rPr>
          <w:rFonts w:hint="default" w:ascii="方正楷体_GBK" w:hAnsi="方正楷体_GBK" w:eastAsia="方正楷体_GBK" w:cs="方正楷体_GBK"/>
          <w:b w:val="0"/>
          <w:bCs/>
          <w:sz w:val="31"/>
          <w:szCs w:val="31"/>
          <w:lang w:val="en-US" w:eastAsia="zh-CN"/>
        </w:rPr>
        <w:t>第一节  优化国土空间格局</w:t>
      </w:r>
      <w:bookmarkEnd w:id="85"/>
      <w:bookmarkEnd w:id="86"/>
      <w:bookmarkEnd w:id="87"/>
      <w:bookmarkEnd w:id="88"/>
      <w:bookmarkEnd w:id="89"/>
      <w:bookmarkEnd w:id="90"/>
      <w:bookmarkEnd w:id="91"/>
      <w:bookmarkEnd w:id="92"/>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方正楷体_GBK" w:hAnsi="方正楷体_GBK" w:eastAsia="方正楷体_GBK" w:cs="方正楷体_GBK"/>
          <w:b w:val="0"/>
          <w:bCs/>
          <w:sz w:val="31"/>
          <w:szCs w:val="31"/>
          <w:lang w:val="en-US" w:eastAsia="zh-CN"/>
        </w:rPr>
      </w:pPr>
      <w:r>
        <w:rPr>
          <w:rFonts w:hint="default" w:ascii="Times New Roman" w:hAnsi="Times New Roman" w:eastAsia="方正仿宋_GBK" w:cs="Times New Roman"/>
          <w:sz w:val="31"/>
          <w:szCs w:val="31"/>
          <w:lang w:val="en-US" w:eastAsia="zh-CN"/>
        </w:rPr>
        <w:t>将“以人为本”和“城市让生活更美好”的理念贯穿始终，高规格完成《国土空间规划》编制，科学划定生态保护红线、基本农田保护红线和城市开发边界线，以打造焉耆盆地中心城市为焉耆今后的发展定位，落实六个中心建设，规划基础设施、公共设施、各类产业、园区建设内容，确保与国民经济和社会发展规划衔接，建设有文化底蕴、有硒域特色、有故事传唱、有人们驻足的西部精品县城。</w:t>
      </w:r>
      <w:bookmarkStart w:id="93" w:name="_Toc23814"/>
      <w:bookmarkStart w:id="94" w:name="_Toc16729"/>
      <w:bookmarkStart w:id="95" w:name="_Toc16705"/>
      <w:r>
        <w:rPr>
          <w:rFonts w:hint="eastAsia" w:ascii="Times New Roman" w:hAnsi="Times New Roman" w:eastAsia="方正仿宋_GBK" w:cs="Times New Roman"/>
          <w:sz w:val="31"/>
          <w:szCs w:val="31"/>
          <w:lang w:val="en-US" w:eastAsia="zh-CN"/>
        </w:rPr>
        <w:t>编制完成南连区域总体规划，按照国土空间规划要求完成区域交通、水利、电力、农业、养殖、林业发展规划，完成乡镇场国土空间规划和各村村庄规划。按照规划确定的目标完成道路、渠系、农田林网、电网、通讯等基础设施建设，引导乡镇场科学谋划特色产业，在旅游、特色种植、特色养殖、康养等方面有所突破、长远发展，形</w:t>
      </w:r>
      <w:r>
        <w:rPr>
          <w:rFonts w:hint="eastAsia" w:ascii="Times New Roman" w:hAnsi="Times New Roman" w:eastAsia="方正仿宋_GBK" w:cs="Times New Roman"/>
          <w:spacing w:val="-11"/>
          <w:sz w:val="31"/>
          <w:szCs w:val="31"/>
          <w:lang w:val="en-US" w:eastAsia="zh-CN"/>
        </w:rPr>
        <w:t>成特色鲜明、产业引领、内容丰富和业态多样的产城融合发展模式。</w:t>
      </w:r>
    </w:p>
    <w:p>
      <w:pPr>
        <w:pStyle w:val="7"/>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楷体_GBK" w:hAnsi="方正楷体_GBK" w:eastAsia="方正楷体_GBK" w:cs="方正楷体_GBK"/>
          <w:b w:val="0"/>
          <w:bCs/>
          <w:sz w:val="31"/>
          <w:szCs w:val="31"/>
          <w:lang w:val="en-US" w:eastAsia="zh-CN"/>
        </w:rPr>
      </w:pPr>
      <w:bookmarkStart w:id="96" w:name="_Toc13366"/>
      <w:bookmarkStart w:id="97" w:name="_Toc18937"/>
      <w:bookmarkStart w:id="98" w:name="_Toc31292"/>
    </w:p>
    <w:p>
      <w:pPr>
        <w:pStyle w:val="7"/>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楷体_GBK" w:hAnsi="方正楷体_GBK" w:eastAsia="方正楷体_GBK" w:cs="方正楷体_GBK"/>
          <w:b w:val="0"/>
          <w:bCs/>
          <w:sz w:val="31"/>
          <w:szCs w:val="31"/>
          <w:lang w:val="en-US" w:eastAsia="zh-CN"/>
        </w:rPr>
      </w:pPr>
      <w:bookmarkStart w:id="99" w:name="_Toc13451"/>
      <w:bookmarkStart w:id="100" w:name="_Toc4741"/>
      <w:r>
        <w:rPr>
          <w:rFonts w:hint="default" w:ascii="方正楷体_GBK" w:hAnsi="方正楷体_GBK" w:eastAsia="方正楷体_GBK" w:cs="方正楷体_GBK"/>
          <w:b w:val="0"/>
          <w:bCs/>
          <w:sz w:val="31"/>
          <w:szCs w:val="31"/>
          <w:lang w:val="en-US" w:eastAsia="zh-CN"/>
        </w:rPr>
        <w:t>第二节  巩固提升东城新区建设</w:t>
      </w:r>
      <w:bookmarkEnd w:id="93"/>
      <w:bookmarkEnd w:id="94"/>
      <w:bookmarkEnd w:id="95"/>
      <w:bookmarkEnd w:id="96"/>
      <w:bookmarkEnd w:id="97"/>
      <w:bookmarkEnd w:id="98"/>
      <w:bookmarkEnd w:id="99"/>
      <w:bookmarkEnd w:id="100"/>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p>
    <w:p>
      <w:pPr>
        <w:spacing w:line="560" w:lineRule="exact"/>
        <w:ind w:firstLine="620" w:firstLineChars="200"/>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以</w:t>
      </w:r>
      <w:r>
        <w:rPr>
          <w:rFonts w:hint="eastAsia" w:ascii="Times New Roman" w:hAnsi="Times New Roman" w:eastAsia="方正仿宋_GBK" w:cs="Times New Roman"/>
          <w:sz w:val="31"/>
          <w:szCs w:val="31"/>
          <w:lang w:val="en-US" w:eastAsia="zh-CN"/>
        </w:rPr>
        <w:t>推进</w:t>
      </w:r>
      <w:r>
        <w:rPr>
          <w:rFonts w:hint="default" w:ascii="Times New Roman" w:hAnsi="Times New Roman" w:eastAsia="方正仿宋_GBK" w:cs="Times New Roman"/>
          <w:sz w:val="31"/>
          <w:szCs w:val="31"/>
          <w:lang w:val="en-US" w:eastAsia="zh-CN"/>
        </w:rPr>
        <w:t>东城新区</w:t>
      </w:r>
      <w:r>
        <w:rPr>
          <w:rFonts w:hint="eastAsia" w:ascii="Times New Roman" w:hAnsi="Times New Roman" w:eastAsia="方正仿宋_GBK" w:cs="Times New Roman"/>
          <w:sz w:val="31"/>
          <w:szCs w:val="31"/>
          <w:lang w:val="en-US" w:eastAsia="zh-CN"/>
        </w:rPr>
        <w:t>建设</w:t>
      </w:r>
      <w:r>
        <w:rPr>
          <w:rFonts w:hint="default" w:ascii="Times New Roman" w:hAnsi="Times New Roman" w:eastAsia="方正仿宋_GBK" w:cs="Times New Roman"/>
          <w:sz w:val="31"/>
          <w:szCs w:val="31"/>
          <w:lang w:val="en-US" w:eastAsia="zh-CN"/>
        </w:rPr>
        <w:t>为核心，</w:t>
      </w:r>
      <w:r>
        <w:rPr>
          <w:rFonts w:hint="eastAsia" w:ascii="Times New Roman" w:hAnsi="Times New Roman" w:eastAsia="方正仿宋_GBK" w:cs="Times New Roman"/>
          <w:sz w:val="31"/>
          <w:szCs w:val="31"/>
        </w:rPr>
        <w:t>打造带动商业开发、住宅建设，形成整个东城新区整体开发建设，盘活土地资源，优化空间布局和功能分区。</w:t>
      </w:r>
      <w:r>
        <w:rPr>
          <w:rFonts w:hint="eastAsia" w:ascii="Times New Roman" w:hAnsi="Times New Roman" w:eastAsia="方正仿宋_GBK" w:cs="Times New Roman"/>
          <w:sz w:val="31"/>
          <w:szCs w:val="31"/>
          <w:lang w:val="en-US" w:eastAsia="zh-CN"/>
        </w:rPr>
        <w:t>发挥焉耆独特的气候、人文、历史、民族、区域交通等优势，积极谋划新业态、新产业、新基建、新市场群、新商业圈，引入大企业、大集团，形成工作合力。</w:t>
      </w:r>
      <w:r>
        <w:rPr>
          <w:rFonts w:hint="eastAsia" w:ascii="Times New Roman" w:hAnsi="Times New Roman" w:eastAsia="方正仿宋_GBK" w:cs="Times New Roman"/>
          <w:sz w:val="31"/>
          <w:szCs w:val="31"/>
        </w:rPr>
        <w:t>大力推动</w:t>
      </w:r>
      <w:r>
        <w:rPr>
          <w:rFonts w:hint="eastAsia" w:ascii="Times New Roman" w:hAnsi="Times New Roman" w:eastAsia="方正仿宋_GBK" w:cs="Times New Roman"/>
          <w:sz w:val="31"/>
          <w:szCs w:val="31"/>
          <w:lang w:eastAsia="zh-CN"/>
        </w:rPr>
        <w:t>焉耆古城（</w:t>
      </w:r>
      <w:r>
        <w:rPr>
          <w:rFonts w:hint="eastAsia" w:ascii="Times New Roman" w:hAnsi="Times New Roman" w:eastAsia="方正仿宋_GBK" w:cs="Times New Roman"/>
          <w:sz w:val="31"/>
          <w:szCs w:val="31"/>
        </w:rPr>
        <w:t>西游小镇</w:t>
      </w: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rPr>
        <w:t>建设，</w:t>
      </w:r>
      <w:r>
        <w:rPr>
          <w:rFonts w:hint="eastAsia" w:ascii="Times New Roman" w:hAnsi="Times New Roman" w:eastAsia="方正仿宋_GBK" w:cs="Times New Roman"/>
          <w:sz w:val="31"/>
          <w:szCs w:val="31"/>
          <w:lang w:val="en-US" w:eastAsia="zh-CN"/>
        </w:rPr>
        <w:t>丰富东城新区各类业态，打造以特色旅游、康养产业、特色市场、夜间经济为主，房地产开发为辅的核心区建设，实现东城新区建成设施齐全、业态丰富、产业布局合理，引导带动力更强的城市新区。</w:t>
      </w:r>
      <w:r>
        <w:rPr>
          <w:rFonts w:hint="eastAsia" w:ascii="Times New Roman" w:hAnsi="Times New Roman" w:eastAsia="方正仿宋_GBK" w:cs="Times New Roman"/>
          <w:sz w:val="31"/>
          <w:szCs w:val="31"/>
        </w:rPr>
        <w:t>围绕东城新区吸引房地产</w:t>
      </w:r>
      <w:r>
        <w:rPr>
          <w:rFonts w:hint="eastAsia" w:ascii="Times New Roman" w:hAnsi="Times New Roman" w:eastAsia="方正仿宋_GBK" w:cs="Times New Roman"/>
          <w:sz w:val="31"/>
          <w:szCs w:val="31"/>
          <w:lang w:eastAsia="zh-CN"/>
        </w:rPr>
        <w:t>业态</w:t>
      </w:r>
      <w:r>
        <w:rPr>
          <w:rFonts w:hint="eastAsia" w:ascii="Times New Roman" w:hAnsi="Times New Roman" w:eastAsia="方正仿宋_GBK" w:cs="Times New Roman"/>
          <w:sz w:val="31"/>
          <w:szCs w:val="31"/>
        </w:rPr>
        <w:t>发展，积极推进高端住宅区、商业街区、度假酒店、老年康养区等招商引资，将东城新区餐饮、商业、服务、住宅整体开发</w:t>
      </w: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rPr>
        <w:t>积极争取棚户区改造工程、老旧小区改造工程、加快实施东城新区棚户区改造，</w:t>
      </w:r>
      <w:r>
        <w:rPr>
          <w:rFonts w:hint="eastAsia" w:ascii="Times New Roman" w:hAnsi="Times New Roman" w:eastAsia="方正仿宋_GBK" w:cs="Times New Roman"/>
          <w:sz w:val="31"/>
          <w:szCs w:val="31"/>
          <w:lang w:val="en-US" w:eastAsia="zh-CN"/>
        </w:rPr>
        <w:t>完成剩余1500户房屋征收工作，积极争取中小学、幼儿园各类教育教学设施建设项目资金，丰富东城新区文体设施内容，引领新区新风尚。积极争取老年康养项目，配套医疗服务设施，引入智慧养老模式，发展康养产业；积极争取现代农业项目，在位于东城新区外围农区的富硒农业、绿色食品、有机食品、有机蔬菜水果肉类等方面引入大企业进行开发建设，实现东城新区全方位发展。逐步</w:t>
      </w:r>
      <w:r>
        <w:rPr>
          <w:rFonts w:hint="default" w:ascii="Times New Roman" w:hAnsi="Times New Roman" w:eastAsia="方正仿宋_GBK" w:cs="Times New Roman"/>
          <w:sz w:val="31"/>
          <w:szCs w:val="31"/>
          <w:lang w:val="en-US" w:eastAsia="zh-CN"/>
        </w:rPr>
        <w:t>提升承载功能，扩大人口规模，增强集聚效应，加强管理服务，辐射带动焉耆镇、五号渠乡、北大渠乡加快发展</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着力</w:t>
      </w:r>
      <w:r>
        <w:rPr>
          <w:rFonts w:hint="eastAsia" w:ascii="Times New Roman" w:hAnsi="Times New Roman" w:eastAsia="方正仿宋_GBK" w:cs="Times New Roman"/>
          <w:sz w:val="31"/>
          <w:szCs w:val="31"/>
          <w:lang w:val="en-US" w:eastAsia="zh-CN"/>
        </w:rPr>
        <w:t>打造</w:t>
      </w:r>
      <w:r>
        <w:rPr>
          <w:rFonts w:hint="default" w:ascii="Times New Roman" w:hAnsi="Times New Roman" w:eastAsia="方正仿宋_GBK" w:cs="Times New Roman"/>
          <w:sz w:val="31"/>
          <w:szCs w:val="31"/>
          <w:lang w:val="en-US" w:eastAsia="zh-CN"/>
        </w:rPr>
        <w:t>宜居宜业宜游宜商的焉耆盆地城市群中心城市。发挥</w:t>
      </w:r>
      <w:r>
        <w:rPr>
          <w:rFonts w:hint="eastAsia" w:ascii="方正黑体_GBK" w:hAnsi="方正黑体_GBK" w:eastAsia="方正黑体_GBK" w:cs="方正黑体_GBK"/>
          <w:sz w:val="31"/>
          <w:szCs w:val="31"/>
          <w:lang w:val="en-US" w:eastAsia="zh-CN"/>
        </w:rPr>
        <w:t>焉耆镇</w:t>
      </w:r>
      <w:r>
        <w:rPr>
          <w:rFonts w:hint="default" w:ascii="Times New Roman" w:hAnsi="Times New Roman" w:eastAsia="方正仿宋_GBK" w:cs="Times New Roman"/>
          <w:sz w:val="31"/>
          <w:szCs w:val="31"/>
          <w:lang w:val="en-US" w:eastAsia="zh-CN"/>
        </w:rPr>
        <w:t>作为城关镇人口集中、基础设施完备、教育资源集中、人流物流信息流巨大的优势，大力开展室内户外各类运动场所及配套附属设施建设，</w:t>
      </w:r>
      <w:r>
        <w:rPr>
          <w:rFonts w:hint="eastAsia" w:ascii="Times New Roman" w:hAnsi="Times New Roman" w:eastAsia="方正仿宋_GBK" w:cs="Times New Roman"/>
          <w:sz w:val="31"/>
          <w:szCs w:val="31"/>
          <w:lang w:val="en-US" w:eastAsia="zh-CN"/>
        </w:rPr>
        <w:t>积极争取东城新区体育公园建设项目，</w:t>
      </w:r>
      <w:r>
        <w:rPr>
          <w:rFonts w:hint="default" w:ascii="Times New Roman" w:hAnsi="Times New Roman" w:eastAsia="方正仿宋_GBK" w:cs="Times New Roman"/>
          <w:sz w:val="31"/>
          <w:szCs w:val="31"/>
          <w:lang w:val="en-US" w:eastAsia="zh-CN"/>
        </w:rPr>
        <w:t>让各族群众休闲有去处，运动有场所，</w:t>
      </w:r>
      <w:r>
        <w:rPr>
          <w:rFonts w:hint="eastAsia" w:ascii="Times New Roman" w:hAnsi="Times New Roman" w:eastAsia="方正仿宋_GBK" w:cs="Times New Roman"/>
          <w:sz w:val="31"/>
          <w:szCs w:val="31"/>
          <w:lang w:val="en-US" w:eastAsia="zh-CN"/>
        </w:rPr>
        <w:t>同时做好</w:t>
      </w:r>
      <w:r>
        <w:rPr>
          <w:rFonts w:hint="default" w:ascii="Times New Roman" w:hAnsi="Times New Roman" w:eastAsia="方正仿宋_GBK" w:cs="Times New Roman"/>
          <w:sz w:val="31"/>
          <w:szCs w:val="31"/>
          <w:lang w:val="en-US" w:eastAsia="zh-CN"/>
        </w:rPr>
        <w:t>传承发扬名厨名点名店传统保护</w:t>
      </w:r>
      <w:r>
        <w:rPr>
          <w:rFonts w:hint="eastAsia" w:ascii="Times New Roman" w:hAnsi="Times New Roman" w:eastAsia="方正仿宋_GBK" w:cs="Times New Roman"/>
          <w:sz w:val="31"/>
          <w:szCs w:val="31"/>
          <w:lang w:val="en-US" w:eastAsia="zh-CN"/>
        </w:rPr>
        <w:t>工作</w:t>
      </w:r>
      <w:r>
        <w:rPr>
          <w:rFonts w:hint="default" w:ascii="Times New Roman" w:hAnsi="Times New Roman" w:eastAsia="方正仿宋_GBK" w:cs="Times New Roman"/>
          <w:sz w:val="31"/>
          <w:szCs w:val="31"/>
          <w:lang w:val="en-US" w:eastAsia="zh-CN"/>
        </w:rPr>
        <w:t>，推动小吃街</w:t>
      </w:r>
      <w:r>
        <w:rPr>
          <w:rFonts w:hint="eastAsia" w:ascii="Times New Roman" w:hAnsi="Times New Roman" w:eastAsia="方正仿宋_GBK" w:cs="Times New Roman"/>
          <w:sz w:val="31"/>
          <w:szCs w:val="31"/>
          <w:lang w:val="en-US" w:eastAsia="zh-CN"/>
        </w:rPr>
        <w:t>、湖心岛</w:t>
      </w:r>
      <w:r>
        <w:rPr>
          <w:rFonts w:hint="default" w:ascii="Times New Roman" w:hAnsi="Times New Roman" w:eastAsia="方正仿宋_GBK" w:cs="Times New Roman"/>
          <w:sz w:val="31"/>
          <w:szCs w:val="31"/>
          <w:lang w:val="en-US" w:eastAsia="zh-CN"/>
        </w:rPr>
        <w:t>提档升级，全力打造以美食</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体育文化为主题的特色小镇。发挥</w:t>
      </w:r>
      <w:r>
        <w:rPr>
          <w:rFonts w:hint="eastAsia" w:ascii="方正黑体_GBK" w:hAnsi="方正黑体_GBK" w:eastAsia="方正黑体_GBK" w:cs="方正黑体_GBK"/>
          <w:sz w:val="31"/>
          <w:szCs w:val="31"/>
          <w:lang w:val="en-US" w:eastAsia="zh-CN"/>
        </w:rPr>
        <w:t>五号渠乡、北大渠乡</w:t>
      </w:r>
      <w:r>
        <w:rPr>
          <w:rFonts w:hint="default" w:ascii="Times New Roman" w:hAnsi="Times New Roman" w:eastAsia="方正仿宋_GBK" w:cs="Times New Roman"/>
          <w:sz w:val="31"/>
          <w:szCs w:val="31"/>
          <w:lang w:val="en-US" w:eastAsia="zh-CN"/>
        </w:rPr>
        <w:t>传统产业优势，</w:t>
      </w:r>
      <w:r>
        <w:rPr>
          <w:rFonts w:hint="eastAsia" w:ascii="Times New Roman" w:hAnsi="Times New Roman" w:eastAsia="方正仿宋_GBK" w:cs="Times New Roman"/>
          <w:sz w:val="31"/>
          <w:szCs w:val="31"/>
          <w:lang w:val="en-US" w:eastAsia="zh-CN"/>
        </w:rPr>
        <w:t>大力发展</w:t>
      </w:r>
      <w:r>
        <w:rPr>
          <w:rFonts w:hint="default" w:ascii="Times New Roman" w:hAnsi="Times New Roman" w:eastAsia="方正仿宋_GBK" w:cs="Times New Roman"/>
          <w:sz w:val="31"/>
          <w:szCs w:val="31"/>
          <w:lang w:val="en-US" w:eastAsia="zh-CN"/>
        </w:rPr>
        <w:t>饲料玉米和青贮玉米为主的饲草产业，</w:t>
      </w:r>
      <w:r>
        <w:rPr>
          <w:rFonts w:hint="eastAsia" w:ascii="Times New Roman" w:hAnsi="Times New Roman" w:eastAsia="方正仿宋_GBK" w:cs="Times New Roman"/>
          <w:sz w:val="31"/>
          <w:szCs w:val="31"/>
          <w:lang w:val="en-US" w:eastAsia="zh-CN"/>
        </w:rPr>
        <w:t>扎实推进</w:t>
      </w:r>
      <w:r>
        <w:rPr>
          <w:rFonts w:hint="default" w:ascii="Times New Roman" w:hAnsi="Times New Roman" w:eastAsia="方正仿宋_GBK" w:cs="Times New Roman"/>
          <w:sz w:val="31"/>
          <w:szCs w:val="31"/>
          <w:lang w:val="en-US" w:eastAsia="zh-CN"/>
        </w:rPr>
        <w:t>蔬菜种植及相关加工、储存为主的蔬菜产业，</w:t>
      </w:r>
      <w:r>
        <w:rPr>
          <w:rFonts w:hint="eastAsia" w:ascii="Times New Roman" w:hAnsi="Times New Roman" w:eastAsia="方正仿宋_GBK" w:cs="Times New Roman"/>
          <w:sz w:val="31"/>
          <w:szCs w:val="31"/>
          <w:lang w:val="en-US" w:eastAsia="zh-CN"/>
        </w:rPr>
        <w:t>以五号渠乡阿伦渠村为示范，建设</w:t>
      </w:r>
      <w:r>
        <w:rPr>
          <w:rFonts w:hint="default" w:ascii="Times New Roman" w:hAnsi="Times New Roman" w:eastAsia="方正仿宋_GBK" w:cs="Times New Roman"/>
          <w:sz w:val="31"/>
          <w:szCs w:val="31"/>
          <w:lang w:val="en-US" w:eastAsia="zh-CN"/>
        </w:rPr>
        <w:t>牛羊</w:t>
      </w:r>
      <w:r>
        <w:rPr>
          <w:rFonts w:hint="eastAsia" w:ascii="Times New Roman" w:hAnsi="Times New Roman" w:eastAsia="方正仿宋_GBK" w:cs="Times New Roman"/>
          <w:sz w:val="31"/>
          <w:szCs w:val="31"/>
          <w:lang w:val="en-US" w:eastAsia="zh-CN"/>
        </w:rPr>
        <w:t>为主的千亩养殖小区，</w:t>
      </w:r>
      <w:r>
        <w:rPr>
          <w:rFonts w:hint="default" w:ascii="Times New Roman" w:hAnsi="Times New Roman" w:eastAsia="方正仿宋_GBK" w:cs="Times New Roman"/>
          <w:sz w:val="31"/>
          <w:szCs w:val="31"/>
          <w:lang w:val="en-US" w:eastAsia="zh-CN"/>
        </w:rPr>
        <w:t>形成特色分明的产业带，示范引领农村经济发展</w:t>
      </w:r>
      <w:r>
        <w:rPr>
          <w:rFonts w:hint="eastAsia" w:ascii="Times New Roman" w:hAnsi="Times New Roman" w:eastAsia="方正仿宋_GBK" w:cs="Times New Roman"/>
          <w:sz w:val="31"/>
          <w:szCs w:val="31"/>
          <w:lang w:val="en-US" w:eastAsia="zh-CN"/>
        </w:rPr>
        <w:t>。</w:t>
      </w:r>
    </w:p>
    <w:p>
      <w:pPr>
        <w:spacing w:line="560" w:lineRule="exact"/>
        <w:ind w:firstLine="620" w:firstLineChars="200"/>
        <w:rPr>
          <w:rFonts w:hint="eastAsia" w:ascii="Times New Roman" w:hAnsi="Times New Roman" w:eastAsia="方正仿宋_GBK" w:cs="Times New Roman"/>
          <w:sz w:val="31"/>
          <w:szCs w:val="31"/>
        </w:rPr>
      </w:pPr>
    </w:p>
    <w:tbl>
      <w:tblPr>
        <w:tblStyle w:val="15"/>
        <w:tblpPr w:leftFromText="180" w:rightFromText="180" w:vertAnchor="text" w:tblpXSpec="left" w:tblpY="1"/>
        <w:tblOverlap w:val="never"/>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1"/>
        <w:gridCol w:w="6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660" w:type="dxa"/>
            <w:gridSpan w:val="2"/>
            <w:tcBorders>
              <w:top w:val="thinThickSmallGap" w:color="auto" w:sz="24" w:space="0"/>
              <w:left w:val="thinThickSmallGap" w:color="auto" w:sz="24" w:space="0"/>
              <w:bottom w:val="thinThickSmallGap" w:color="auto" w:sz="24" w:space="0"/>
              <w:right w:val="thinThickSmallGap" w:color="auto" w:sz="24" w:space="0"/>
            </w:tcBorders>
          </w:tcPr>
          <w:p>
            <w:pPr>
              <w:spacing w:after="0" w:line="240" w:lineRule="auto"/>
            </w:pPr>
            <w:bookmarkStart w:id="101" w:name="_Toc3317"/>
            <w:bookmarkStart w:id="102" w:name="_Toc20991"/>
            <w:bookmarkStart w:id="103" w:name="_Toc16436"/>
            <w:r>
              <w:rPr>
                <w:rFonts w:hint="eastAsia" w:ascii="方正黑体_GBK" w:hAnsi="方正黑体_GBK" w:eastAsia="方正黑体_GBK" w:cs="方正黑体_GBK"/>
                <w:lang w:eastAsia="zh-CN"/>
              </w:rPr>
              <w:t>专栏：</w:t>
            </w:r>
            <w:r>
              <w:rPr>
                <w:rFonts w:hint="eastAsia" w:ascii="方正黑体_GBK" w:hAnsi="方正黑体_GBK" w:eastAsia="方正黑体_GBK" w:cs="方正黑体_GBK"/>
                <w:lang w:eastAsia="en-US"/>
              </w:rPr>
              <w:t>项目支撑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441" w:type="dxa"/>
            <w:tcBorders>
              <w:top w:val="thinThickSmallGap" w:color="auto" w:sz="24" w:space="0"/>
              <w:left w:val="thinThickSmallGap" w:color="auto" w:sz="24" w:space="0"/>
              <w:bottom w:val="thinThickSmallGap" w:color="auto" w:sz="24" w:space="0"/>
              <w:right w:val="single" w:color="auto" w:sz="4" w:space="0"/>
            </w:tcBorders>
            <w:vAlign w:val="top"/>
          </w:tcPr>
          <w:p>
            <w:pPr>
              <w:spacing w:after="0" w:line="240" w:lineRule="auto"/>
              <w:rPr>
                <w:rFonts w:hint="eastAsia"/>
                <w:lang w:eastAsia="en-US"/>
              </w:rPr>
            </w:pPr>
            <w:r>
              <w:rPr>
                <w:rFonts w:hint="eastAsia"/>
              </w:rPr>
              <w:t>焉耆古城（西游小镇）文旅综合体项目</w:t>
            </w:r>
          </w:p>
        </w:tc>
        <w:tc>
          <w:tcPr>
            <w:tcW w:w="6219" w:type="dxa"/>
            <w:tcBorders>
              <w:top w:val="thinThickSmallGap" w:color="auto" w:sz="24" w:space="0"/>
              <w:left w:val="single" w:color="auto" w:sz="4" w:space="0"/>
              <w:bottom w:val="thinThickSmallGap" w:color="auto" w:sz="24" w:space="0"/>
              <w:right w:val="thinThickSmallGap" w:color="auto" w:sz="24" w:space="0"/>
            </w:tcBorders>
            <w:vAlign w:val="top"/>
          </w:tcPr>
          <w:p>
            <w:pPr>
              <w:spacing w:after="0" w:line="240" w:lineRule="auto"/>
              <w:rPr>
                <w:rFonts w:hint="eastAsia"/>
                <w:lang w:eastAsia="en-US"/>
              </w:rPr>
            </w:pPr>
            <w:r>
              <w:rPr>
                <w:rFonts w:hint="eastAsia"/>
              </w:rPr>
              <w:t>焉耆古城（西游小镇）文旅综合体项目：总投资6亿元，项目总用地面积298亩，主要规划千年古城项目、精品酒店、民宿、文化展厅、游客接待中心等，住宅17栋、配套服务用房3栋。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441" w:type="dxa"/>
            <w:tcBorders>
              <w:top w:val="thinThickSmallGap" w:color="auto" w:sz="24" w:space="0"/>
              <w:left w:val="thinThickSmallGap" w:color="auto" w:sz="24" w:space="0"/>
              <w:bottom w:val="thinThickSmallGap" w:color="auto" w:sz="24" w:space="0"/>
              <w:right w:val="single" w:color="auto" w:sz="4" w:space="0"/>
            </w:tcBorders>
            <w:vAlign w:val="center"/>
          </w:tcPr>
          <w:p>
            <w:pPr>
              <w:spacing w:after="0" w:line="240" w:lineRule="auto"/>
              <w:rPr>
                <w:rFonts w:hint="eastAsia"/>
              </w:rPr>
            </w:pPr>
            <w:r>
              <w:rPr>
                <w:rFonts w:hint="eastAsia"/>
                <w:lang w:val="en-US" w:eastAsia="en-US"/>
              </w:rPr>
              <w:t>焉耆县智慧养老建设项目</w:t>
            </w:r>
          </w:p>
        </w:tc>
        <w:tc>
          <w:tcPr>
            <w:tcW w:w="6219" w:type="dxa"/>
            <w:tcBorders>
              <w:top w:val="thinThickSmallGap" w:color="auto" w:sz="24" w:space="0"/>
              <w:left w:val="single" w:color="auto" w:sz="4" w:space="0"/>
              <w:bottom w:val="thinThickSmallGap" w:color="auto" w:sz="24" w:space="0"/>
              <w:right w:val="thinThickSmallGap" w:color="auto" w:sz="24" w:space="0"/>
            </w:tcBorders>
            <w:vAlign w:val="center"/>
          </w:tcPr>
          <w:p>
            <w:pPr>
              <w:spacing w:after="0" w:line="240" w:lineRule="auto"/>
              <w:rPr>
                <w:rFonts w:hint="eastAsia"/>
              </w:rPr>
            </w:pPr>
            <w:r>
              <w:rPr>
                <w:rFonts w:hint="eastAsia"/>
                <w:lang w:val="en-US" w:eastAsia="zh-CN"/>
              </w:rPr>
              <w:t>在东城新区选择一块建筑用地面积:10亩，计划设置床位200张，以互联网十养老模式建立康养信息平台及相关配套设施。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441" w:type="dxa"/>
            <w:tcBorders>
              <w:top w:val="thinThickSmallGap" w:color="auto" w:sz="24" w:space="0"/>
              <w:left w:val="thinThickSmallGap" w:color="auto" w:sz="24" w:space="0"/>
              <w:bottom w:val="thinThickSmallGap" w:color="auto" w:sz="24" w:space="0"/>
              <w:right w:val="single" w:color="auto" w:sz="4" w:space="0"/>
            </w:tcBorders>
            <w:vAlign w:val="center"/>
          </w:tcPr>
          <w:p>
            <w:pPr>
              <w:spacing w:after="0" w:line="240" w:lineRule="auto"/>
              <w:rPr>
                <w:rFonts w:hint="eastAsia"/>
              </w:rPr>
            </w:pPr>
            <w:r>
              <w:rPr>
                <w:rFonts w:hint="eastAsia" w:asciiTheme="minorEastAsia" w:hAnsiTheme="minorEastAsia" w:eastAsiaTheme="minorEastAsia" w:cstheme="minorEastAsia"/>
                <w:lang w:eastAsia="zh-CN"/>
              </w:rPr>
              <w:t>焉耆县</w:t>
            </w:r>
            <w:r>
              <w:rPr>
                <w:rFonts w:hint="eastAsia" w:asciiTheme="minorEastAsia" w:hAnsiTheme="minorEastAsia" w:eastAsiaTheme="minorEastAsia" w:cstheme="minorEastAsia"/>
              </w:rPr>
              <w:t>东城新区体育公园建设项目</w:t>
            </w:r>
          </w:p>
        </w:tc>
        <w:tc>
          <w:tcPr>
            <w:tcW w:w="6219" w:type="dxa"/>
            <w:tcBorders>
              <w:top w:val="thinThickSmallGap" w:color="auto" w:sz="24" w:space="0"/>
              <w:left w:val="single" w:color="auto" w:sz="4" w:space="0"/>
              <w:bottom w:val="thinThickSmallGap" w:color="auto" w:sz="24" w:space="0"/>
              <w:right w:val="thinThickSmallGap" w:color="auto" w:sz="24" w:space="0"/>
            </w:tcBorders>
            <w:vAlign w:val="top"/>
          </w:tcPr>
          <w:p>
            <w:pPr>
              <w:spacing w:after="0" w:line="240" w:lineRule="auto"/>
              <w:rPr>
                <w:rFonts w:hint="eastAsia"/>
              </w:rPr>
            </w:pPr>
            <w:r>
              <w:rPr>
                <w:rFonts w:hint="eastAsia" w:asciiTheme="minorEastAsia" w:hAnsiTheme="minorEastAsia" w:eastAsiaTheme="minorEastAsia" w:cstheme="minorEastAsia"/>
                <w:lang w:val="en-US" w:eastAsia="zh-CN"/>
              </w:rPr>
              <w:t>在东城新区新建10公里环湖健身步道，篮球场地、足球场地、网球场地、露天游泳池、生态停车场、公共厕所、健身广场、儿童活动设施等。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1" w:type="dxa"/>
            <w:tcBorders>
              <w:top w:val="thinThickSmallGap" w:color="auto" w:sz="24" w:space="0"/>
              <w:left w:val="thinThickSmallGap" w:color="auto" w:sz="24" w:space="0"/>
              <w:bottom w:val="thinThickSmallGap" w:color="auto" w:sz="24" w:space="0"/>
              <w:right w:val="single" w:color="auto" w:sz="4" w:space="0"/>
            </w:tcBorders>
            <w:vAlign w:val="top"/>
          </w:tcPr>
          <w:p>
            <w:pPr>
              <w:spacing w:after="0" w:line="240" w:lineRule="auto"/>
            </w:pPr>
            <w:r>
              <w:rPr>
                <w:rFonts w:hint="eastAsia"/>
              </w:rPr>
              <w:t>焉耆县水悦华府小区项目</w:t>
            </w:r>
          </w:p>
        </w:tc>
        <w:tc>
          <w:tcPr>
            <w:tcW w:w="6219" w:type="dxa"/>
            <w:tcBorders>
              <w:top w:val="thinThickSmallGap" w:color="auto" w:sz="24" w:space="0"/>
              <w:left w:val="single" w:color="auto" w:sz="4" w:space="0"/>
              <w:bottom w:val="thinThickSmallGap" w:color="auto" w:sz="24" w:space="0"/>
              <w:right w:val="thinThickSmallGap" w:color="auto" w:sz="24" w:space="0"/>
            </w:tcBorders>
            <w:vAlign w:val="top"/>
          </w:tcPr>
          <w:p>
            <w:pPr>
              <w:spacing w:after="0" w:line="240" w:lineRule="auto"/>
            </w:pPr>
            <w:r>
              <w:rPr>
                <w:rFonts w:hint="eastAsia"/>
              </w:rPr>
              <w:t>项目总用地面积40972平方米（64.4亩），总建筑面积60669.64平方米，主要规划14栋楼，其中住宅8栋、商住3栋、商业3栋。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1" w:type="dxa"/>
            <w:tcBorders>
              <w:top w:val="thinThickSmallGap" w:color="auto" w:sz="24" w:space="0"/>
              <w:left w:val="thinThickSmallGap" w:color="auto" w:sz="24" w:space="0"/>
              <w:bottom w:val="thinThickSmallGap" w:color="auto" w:sz="24" w:space="0"/>
              <w:right w:val="single" w:color="auto" w:sz="4" w:space="0"/>
            </w:tcBorders>
            <w:vAlign w:val="top"/>
          </w:tcPr>
          <w:p>
            <w:pPr>
              <w:spacing w:after="0" w:line="240" w:lineRule="auto"/>
              <w:rPr>
                <w:rFonts w:hint="eastAsia"/>
              </w:rPr>
            </w:pPr>
            <w:r>
              <w:rPr>
                <w:rFonts w:hint="eastAsia"/>
              </w:rPr>
              <w:t>焉耆县御河上院项目</w:t>
            </w:r>
          </w:p>
        </w:tc>
        <w:tc>
          <w:tcPr>
            <w:tcW w:w="6219" w:type="dxa"/>
            <w:tcBorders>
              <w:top w:val="thinThickSmallGap" w:color="auto" w:sz="24" w:space="0"/>
              <w:left w:val="single" w:color="auto" w:sz="4" w:space="0"/>
              <w:bottom w:val="thinThickSmallGap" w:color="auto" w:sz="24" w:space="0"/>
              <w:right w:val="thinThickSmallGap" w:color="auto" w:sz="24" w:space="0"/>
            </w:tcBorders>
            <w:vAlign w:val="top"/>
          </w:tcPr>
          <w:p>
            <w:pPr>
              <w:spacing w:after="0" w:line="240" w:lineRule="auto"/>
              <w:rPr>
                <w:rFonts w:hint="eastAsia"/>
              </w:rPr>
            </w:pPr>
            <w:r>
              <w:rPr>
                <w:rFonts w:hint="eastAsia"/>
              </w:rPr>
              <w:t>项目总用地面积16020.24平方米，总建筑面积26526.5平方米，主要规划6栋楼，其中住宅3栋、商住2栋、商业1栋。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1" w:type="dxa"/>
            <w:tcBorders>
              <w:top w:val="thinThickSmallGap" w:color="auto" w:sz="24" w:space="0"/>
              <w:left w:val="thinThickSmallGap" w:color="auto" w:sz="24" w:space="0"/>
              <w:bottom w:val="thinThickSmallGap" w:color="auto" w:sz="24" w:space="0"/>
              <w:right w:val="single" w:color="auto" w:sz="4" w:space="0"/>
            </w:tcBorders>
            <w:vAlign w:val="top"/>
          </w:tcPr>
          <w:p>
            <w:pPr>
              <w:spacing w:after="0" w:line="240" w:lineRule="auto"/>
              <w:rPr>
                <w:rFonts w:hint="eastAsia"/>
              </w:rPr>
            </w:pPr>
            <w:r>
              <w:rPr>
                <w:rFonts w:hint="eastAsia"/>
              </w:rPr>
              <w:t>焉耆县</w:t>
            </w:r>
            <w:r>
              <w:rPr>
                <w:rFonts w:hint="eastAsia"/>
                <w:lang w:eastAsia="zh-CN"/>
              </w:rPr>
              <w:t>四中住宅</w:t>
            </w:r>
            <w:r>
              <w:rPr>
                <w:rFonts w:hint="eastAsia"/>
              </w:rPr>
              <w:t>小区项目</w:t>
            </w:r>
          </w:p>
        </w:tc>
        <w:tc>
          <w:tcPr>
            <w:tcW w:w="6219" w:type="dxa"/>
            <w:tcBorders>
              <w:top w:val="thinThickSmallGap" w:color="auto" w:sz="24" w:space="0"/>
              <w:left w:val="single" w:color="auto" w:sz="4" w:space="0"/>
              <w:bottom w:val="thinThickSmallGap" w:color="auto" w:sz="24" w:space="0"/>
              <w:right w:val="thinThickSmallGap" w:color="auto" w:sz="24" w:space="0"/>
            </w:tcBorders>
            <w:vAlign w:val="top"/>
          </w:tcPr>
          <w:p>
            <w:pPr>
              <w:spacing w:after="0" w:line="240" w:lineRule="auto"/>
              <w:rPr>
                <w:rFonts w:hint="eastAsia"/>
              </w:rPr>
            </w:pPr>
            <w:r>
              <w:rPr>
                <w:rFonts w:hint="eastAsia"/>
              </w:rPr>
              <w:t>项目总建筑面积28400平方米，主要规划7栋楼，其中6栋商住、1栋公共租赁住房。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1" w:type="dxa"/>
            <w:tcBorders>
              <w:top w:val="thinThickSmallGap" w:color="auto" w:sz="24" w:space="0"/>
              <w:left w:val="thinThickSmallGap" w:color="auto" w:sz="24" w:space="0"/>
              <w:bottom w:val="thinThickSmallGap" w:color="auto" w:sz="24" w:space="0"/>
              <w:right w:val="single" w:color="auto" w:sz="4" w:space="0"/>
            </w:tcBorders>
            <w:vAlign w:val="top"/>
          </w:tcPr>
          <w:p>
            <w:pPr>
              <w:spacing w:after="0" w:line="240" w:lineRule="auto"/>
              <w:rPr>
                <w:rFonts w:hint="eastAsia"/>
              </w:rPr>
            </w:pPr>
            <w:r>
              <w:rPr>
                <w:rFonts w:hint="eastAsia"/>
              </w:rPr>
              <w:t>焉耆县第四中学教学楼、风雨操场、学生宿舍及配套设施</w:t>
            </w:r>
          </w:p>
        </w:tc>
        <w:tc>
          <w:tcPr>
            <w:tcW w:w="6219" w:type="dxa"/>
            <w:tcBorders>
              <w:top w:val="thinThickSmallGap" w:color="auto" w:sz="24" w:space="0"/>
              <w:left w:val="single" w:color="auto" w:sz="4" w:space="0"/>
              <w:bottom w:val="thinThickSmallGap" w:color="auto" w:sz="24" w:space="0"/>
              <w:right w:val="thinThickSmallGap" w:color="auto" w:sz="24" w:space="0"/>
            </w:tcBorders>
            <w:vAlign w:val="top"/>
          </w:tcPr>
          <w:p>
            <w:pPr>
              <w:spacing w:after="0" w:line="240" w:lineRule="auto"/>
              <w:rPr>
                <w:rFonts w:hint="eastAsia"/>
              </w:rPr>
            </w:pPr>
            <w:r>
              <w:rPr>
                <w:rFonts w:hint="eastAsia"/>
                <w:lang w:eastAsia="zh-CN"/>
              </w:rPr>
              <w:t>高中部教学楼12000平方米、初中部教学楼6000平方米、学生宿舍楼12000平方米、风雨操场4000平方米、室外地坪25000平方米、围墙1000米，总投资约1.3亿元。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1" w:type="dxa"/>
            <w:tcBorders>
              <w:top w:val="thinThickSmallGap" w:color="auto" w:sz="24" w:space="0"/>
              <w:left w:val="thinThickSmallGap" w:color="auto" w:sz="24" w:space="0"/>
              <w:bottom w:val="thinThickSmallGap" w:color="auto" w:sz="24" w:space="0"/>
              <w:right w:val="single" w:color="auto" w:sz="4" w:space="0"/>
            </w:tcBorders>
            <w:vAlign w:val="top"/>
          </w:tcPr>
          <w:p>
            <w:pPr>
              <w:spacing w:after="0" w:line="240" w:lineRule="auto"/>
              <w:rPr>
                <w:rFonts w:hint="eastAsia"/>
              </w:rPr>
            </w:pPr>
            <w:r>
              <w:rPr>
                <w:rFonts w:hint="eastAsia"/>
                <w:lang w:val="en-US" w:eastAsia="zh-CN"/>
              </w:rPr>
              <w:t>新建第四中学高中综合教学楼</w:t>
            </w:r>
          </w:p>
        </w:tc>
        <w:tc>
          <w:tcPr>
            <w:tcW w:w="6219" w:type="dxa"/>
            <w:tcBorders>
              <w:top w:val="thinThickSmallGap" w:color="auto" w:sz="24" w:space="0"/>
              <w:left w:val="single" w:color="auto" w:sz="4" w:space="0"/>
              <w:bottom w:val="thinThickSmallGap" w:color="auto" w:sz="24" w:space="0"/>
              <w:right w:val="thinThickSmallGap" w:color="auto" w:sz="24" w:space="0"/>
            </w:tcBorders>
            <w:vAlign w:val="top"/>
          </w:tcPr>
          <w:p>
            <w:pPr>
              <w:spacing w:after="0" w:line="240" w:lineRule="auto"/>
              <w:rPr>
                <w:rFonts w:hint="eastAsia"/>
              </w:rPr>
            </w:pPr>
            <w:r>
              <w:rPr>
                <w:rFonts w:hint="eastAsia"/>
                <w:lang w:val="en-US" w:eastAsia="zh-CN"/>
              </w:rPr>
              <w:t>新建4000平方米综合图书实验楼及附属工程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1" w:type="dxa"/>
            <w:tcBorders>
              <w:top w:val="thinThickSmallGap" w:color="auto" w:sz="24" w:space="0"/>
              <w:left w:val="thinThickSmallGap" w:color="auto" w:sz="24" w:space="0"/>
              <w:bottom w:val="thinThickSmallGap" w:color="auto" w:sz="24" w:space="0"/>
              <w:right w:val="single" w:color="auto" w:sz="4" w:space="0"/>
            </w:tcBorders>
            <w:vAlign w:val="center"/>
          </w:tcPr>
          <w:p>
            <w:pPr>
              <w:spacing w:after="0" w:line="240" w:lineRule="auto"/>
              <w:rPr>
                <w:rFonts w:hint="eastAsia"/>
              </w:rPr>
            </w:pPr>
            <w:r>
              <w:rPr>
                <w:rFonts w:hint="default"/>
              </w:rPr>
              <w:t>焉耆县市场群建设项目</w:t>
            </w:r>
          </w:p>
        </w:tc>
        <w:tc>
          <w:tcPr>
            <w:tcW w:w="6219" w:type="dxa"/>
            <w:tcBorders>
              <w:top w:val="thinThickSmallGap" w:color="auto" w:sz="24" w:space="0"/>
              <w:left w:val="single" w:color="auto" w:sz="4" w:space="0"/>
              <w:bottom w:val="thinThickSmallGap" w:color="auto" w:sz="24" w:space="0"/>
              <w:right w:val="thinThickSmallGap" w:color="auto" w:sz="24" w:space="0"/>
            </w:tcBorders>
            <w:vAlign w:val="center"/>
          </w:tcPr>
          <w:p>
            <w:pPr>
              <w:spacing w:after="0" w:line="240" w:lineRule="auto"/>
              <w:rPr>
                <w:rFonts w:hint="eastAsia"/>
              </w:rPr>
            </w:pPr>
            <w:r>
              <w:rPr>
                <w:rFonts w:hint="default"/>
                <w:lang w:val="en-US" w:eastAsia="zh-CN"/>
              </w:rPr>
              <w:t>占地500亩。新建木材、钢材、活畜、花鸟、小百货、旧货、综合市场等13个专业、特色市场及综合服务中心，形成服务北四县、辐射南北疆的商贸物流中心。</w:t>
            </w:r>
          </w:p>
        </w:tc>
      </w:tr>
    </w:tbl>
    <w:p>
      <w:pPr>
        <w:rPr>
          <w:rFonts w:hint="default"/>
          <w:lang w:val="en-US" w:eastAsia="zh-CN"/>
        </w:rPr>
      </w:pPr>
      <w:bookmarkStart w:id="104" w:name="_Toc18646"/>
      <w:bookmarkStart w:id="105" w:name="_Toc17256"/>
      <w:bookmarkStart w:id="106" w:name="_Toc21639"/>
    </w:p>
    <w:p>
      <w:pPr>
        <w:pStyle w:val="7"/>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楷体_GBK" w:hAnsi="方正楷体_GBK" w:eastAsia="方正楷体_GBK" w:cs="方正楷体_GBK"/>
          <w:b w:val="0"/>
          <w:bCs/>
          <w:sz w:val="31"/>
          <w:szCs w:val="31"/>
          <w:lang w:val="en-US" w:eastAsia="zh-CN"/>
        </w:rPr>
      </w:pPr>
      <w:bookmarkStart w:id="107" w:name="_Toc26336"/>
      <w:bookmarkStart w:id="108" w:name="_Toc13882"/>
      <w:r>
        <w:rPr>
          <w:rFonts w:hint="default" w:ascii="方正楷体_GBK" w:hAnsi="方正楷体_GBK" w:eastAsia="方正楷体_GBK" w:cs="方正楷体_GBK"/>
          <w:b w:val="0"/>
          <w:bCs/>
          <w:sz w:val="31"/>
          <w:szCs w:val="31"/>
          <w:lang w:val="en-US" w:eastAsia="zh-CN"/>
        </w:rPr>
        <w:t>第三节  持续加大南连发展带建设</w:t>
      </w:r>
      <w:bookmarkEnd w:id="101"/>
      <w:bookmarkEnd w:id="102"/>
      <w:bookmarkEnd w:id="103"/>
      <w:bookmarkEnd w:id="104"/>
      <w:bookmarkEnd w:id="105"/>
      <w:bookmarkEnd w:id="106"/>
      <w:bookmarkEnd w:id="107"/>
      <w:bookmarkEnd w:id="108"/>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bookmarkStart w:id="109" w:name="_Toc91"/>
      <w:bookmarkStart w:id="110" w:name="_Toc27818"/>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0" w:firstLineChars="200"/>
        <w:jc w:val="both"/>
        <w:textAlignment w:val="auto"/>
        <w:outlineLvl w:val="9"/>
        <w:rPr>
          <w:rFonts w:hint="eastAsia"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以第二师焉耆医院</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县第三中学、八一中学和南河路社区为支点，以水系连通、绿色长廊为纽带，积极引入大集团、大企业，对永宁镇开都河南岸周围地块进行高标准规划、高标准打造，启动道路建设和改造工作，逐步形成“环线+田字格”路网结构，提高道路通行效率</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明确功能分区，强化生态系统保障，完善基础设施和公共服务配套建设，落实嵌入式居住要求，进行整体开发，打造集医疗康养、教育、餐饮、住宿等为一体的综合服务区域，推动县城向南延伸。</w:t>
      </w:r>
      <w:r>
        <w:rPr>
          <w:rFonts w:hint="eastAsia" w:ascii="Times New Roman" w:hAnsi="Times New Roman" w:eastAsia="方正仿宋_GBK" w:cs="Times New Roman"/>
          <w:sz w:val="31"/>
          <w:szCs w:val="31"/>
          <w:lang w:val="en-US" w:eastAsia="zh-CN"/>
        </w:rPr>
        <w:t>围绕“五节点”规划思路加大南连建设力度，通过</w:t>
      </w:r>
      <w:r>
        <w:rPr>
          <w:rFonts w:hint="eastAsia" w:ascii="方正黑体_GBK" w:hAnsi="方正黑体_GBK" w:eastAsia="方正黑体_GBK" w:cs="方正黑体_GBK"/>
          <w:sz w:val="31"/>
          <w:szCs w:val="31"/>
          <w:lang w:val="en-US" w:eastAsia="zh-CN"/>
        </w:rPr>
        <w:t>开都河南岸组团</w:t>
      </w:r>
      <w:r>
        <w:rPr>
          <w:rFonts w:hint="eastAsia" w:ascii="Times New Roman" w:hAnsi="Times New Roman" w:eastAsia="方正仿宋_GBK" w:cs="方正仿宋_GBK"/>
          <w:sz w:val="31"/>
          <w:szCs w:val="31"/>
          <w:lang w:val="en-US" w:eastAsia="zh-CN"/>
        </w:rPr>
        <w:t>依托第二师焉耆医院、八一中学、县第三中学和永宁镇政府、南岸3个居住小区等为基础，实施棚户区改造工程，以商业和房地产为重点，优化资源配置，进行整体开发，打造集医疗康养、教育、餐饮、住宿等为一体的综合服务区域;</w:t>
      </w:r>
      <w:r>
        <w:rPr>
          <w:rFonts w:hint="eastAsia" w:ascii="Times New Roman" w:hAnsi="Times New Roman" w:eastAsia="方正仿宋_GBK" w:cs="Times New Roman"/>
          <w:sz w:val="31"/>
          <w:szCs w:val="31"/>
          <w:lang w:val="en-US" w:eastAsia="zh-CN"/>
        </w:rPr>
        <w:t>围绕</w:t>
      </w:r>
      <w:r>
        <w:rPr>
          <w:rFonts w:hint="eastAsia" w:ascii="方正黑体_GBK" w:hAnsi="方正黑体_GBK" w:eastAsia="方正黑体_GBK" w:cs="方正黑体_GBK"/>
          <w:sz w:val="31"/>
          <w:szCs w:val="31"/>
          <w:lang w:val="en-US" w:eastAsia="zh-CN"/>
        </w:rPr>
        <w:t>二十七团</w:t>
      </w:r>
      <w:r>
        <w:rPr>
          <w:rFonts w:hint="eastAsia" w:ascii="Times New Roman" w:hAnsi="Times New Roman" w:eastAsia="方正仿宋_GBK" w:cs="Times New Roman"/>
          <w:sz w:val="31"/>
          <w:szCs w:val="31"/>
          <w:lang w:val="en-US" w:eastAsia="zh-CN"/>
        </w:rPr>
        <w:t>节点，</w:t>
      </w:r>
      <w:r>
        <w:rPr>
          <w:rFonts w:hint="eastAsia" w:ascii="Times New Roman" w:hAnsi="Times New Roman" w:eastAsia="方正仿宋_GBK" w:cs="方正仿宋_GBK"/>
          <w:sz w:val="31"/>
          <w:szCs w:val="31"/>
          <w:lang w:val="en-US" w:eastAsia="zh-CN"/>
        </w:rPr>
        <w:t>坚持与第二师27团“规划一张图、建设一张图、绿化一张图”的要求，推动兵地融合发展，形成连点成线，提升辐射带动周边发展的能力水平，推动兵地优势资源和产业互补。</w:t>
      </w:r>
      <w:r>
        <w:rPr>
          <w:rFonts w:hint="default" w:ascii="Times New Roman" w:hAnsi="Times New Roman" w:eastAsia="方正仿宋_GBK" w:cs="Times New Roman"/>
          <w:color w:val="auto"/>
          <w:sz w:val="31"/>
          <w:szCs w:val="31"/>
          <w:lang w:val="en-US" w:eastAsia="zh-CN"/>
        </w:rPr>
        <w:t>同步抓好产业规划招商引资、城镇建设、环境整治、旅游规划等重点工作，促进城镇布局更为合理、产业更趋完善，人口更加集聚，提升辐射带动周边发展的能力水平，推动兵团向南发展战略落实落地。</w:t>
      </w:r>
      <w:r>
        <w:rPr>
          <w:rFonts w:hint="eastAsia" w:ascii="方正仿宋_GBK" w:hAnsi="方正仿宋_GBK" w:eastAsia="方正仿宋_GBK" w:cs="方正仿宋_GBK"/>
          <w:b w:val="0"/>
          <w:bCs w:val="0"/>
          <w:color w:val="auto"/>
          <w:sz w:val="31"/>
          <w:szCs w:val="31"/>
          <w:lang w:eastAsia="zh-CN"/>
        </w:rPr>
        <w:t>加强兵地发展规划衔接协调，鼓励兵团企业以“飞地”形式入驻河北巴州生态产业园，实现深层次交流交融交往；</w:t>
      </w:r>
      <w:r>
        <w:rPr>
          <w:rFonts w:hint="eastAsia" w:ascii="Times New Roman" w:hAnsi="Times New Roman" w:eastAsia="方正仿宋_GBK" w:cs="Times New Roman"/>
          <w:color w:val="auto"/>
          <w:sz w:val="31"/>
          <w:szCs w:val="31"/>
          <w:lang w:val="en-US" w:eastAsia="zh-CN"/>
        </w:rPr>
        <w:t>围绕</w:t>
      </w:r>
      <w:r>
        <w:rPr>
          <w:rFonts w:hint="eastAsia" w:ascii="方正黑体_GBK" w:hAnsi="方正黑体_GBK" w:eastAsia="方正黑体_GBK" w:cs="方正黑体_GBK"/>
          <w:color w:val="auto"/>
          <w:sz w:val="31"/>
          <w:szCs w:val="31"/>
          <w:lang w:val="en-US" w:eastAsia="zh-CN"/>
        </w:rPr>
        <w:t>四十里城子镇</w:t>
      </w:r>
      <w:r>
        <w:rPr>
          <w:rFonts w:hint="eastAsia" w:ascii="Times New Roman" w:hAnsi="Times New Roman" w:eastAsia="方正仿宋_GBK" w:cs="Times New Roman"/>
          <w:color w:val="auto"/>
          <w:sz w:val="31"/>
          <w:szCs w:val="31"/>
          <w:lang w:val="en-US" w:eastAsia="zh-CN"/>
        </w:rPr>
        <w:t>节点，巩固提升美丽乡村和庭院经济建设成果，大力发展乡村旅游与相思湖形成呼应。加大土地流转力度，加快高标准农田建设，补齐村组美化、绿化、亮化、硬化短板，不断改善人居环境，实现生态宜居。依</w:t>
      </w:r>
      <w:r>
        <w:rPr>
          <w:rFonts w:hint="default" w:ascii="Times New Roman" w:hAnsi="Times New Roman" w:eastAsia="方正仿宋_GBK" w:cs="Times New Roman"/>
          <w:color w:val="auto"/>
          <w:sz w:val="31"/>
          <w:szCs w:val="31"/>
          <w:lang w:val="en-US" w:eastAsia="zh-CN"/>
        </w:rPr>
        <w:t>托博格达沁古城</w:t>
      </w:r>
      <w:r>
        <w:rPr>
          <w:rFonts w:hint="eastAsia" w:ascii="Times New Roman" w:hAnsi="Times New Roman" w:eastAsia="方正仿宋_GBK" w:cs="Times New Roman"/>
          <w:color w:val="auto"/>
          <w:sz w:val="31"/>
          <w:szCs w:val="31"/>
          <w:lang w:val="en-US" w:eastAsia="zh-CN"/>
        </w:rPr>
        <w:t>景点和土葡萄种植等优势，</w:t>
      </w:r>
      <w:r>
        <w:rPr>
          <w:rFonts w:hint="default" w:ascii="Times New Roman" w:hAnsi="Times New Roman" w:eastAsia="方正仿宋_GBK" w:cs="Times New Roman"/>
          <w:color w:val="auto"/>
          <w:sz w:val="31"/>
          <w:szCs w:val="31"/>
          <w:lang w:val="en-US" w:eastAsia="zh-CN"/>
        </w:rPr>
        <w:t>将葡萄产业、农家乐餐饮和观光旅游进行有机结合，使葡萄采摘品尝成为新亮点</w:t>
      </w:r>
      <w:r>
        <w:rPr>
          <w:rFonts w:hint="eastAsia" w:ascii="Times New Roman" w:hAnsi="Times New Roman" w:eastAsia="方正仿宋_GBK" w:cs="Times New Roman"/>
          <w:sz w:val="31"/>
          <w:szCs w:val="31"/>
          <w:lang w:val="en-US" w:eastAsia="zh-CN"/>
        </w:rPr>
        <w:t>；围绕</w:t>
      </w:r>
      <w:r>
        <w:rPr>
          <w:rFonts w:hint="eastAsia" w:ascii="方正黑体_GBK" w:hAnsi="方正黑体_GBK" w:eastAsia="方正黑体_GBK" w:cs="方正黑体_GBK"/>
          <w:sz w:val="31"/>
          <w:szCs w:val="31"/>
          <w:lang w:val="en-US" w:eastAsia="zh-CN"/>
        </w:rPr>
        <w:t>相思湖生态保护区</w:t>
      </w:r>
      <w:r>
        <w:rPr>
          <w:rFonts w:hint="eastAsia" w:ascii="Times New Roman" w:hAnsi="Times New Roman" w:eastAsia="方正仿宋_GBK" w:cs="方正仿宋_GBK"/>
          <w:sz w:val="31"/>
          <w:szCs w:val="31"/>
          <w:lang w:val="en-US" w:eastAsia="zh-CN"/>
        </w:rPr>
        <w:t>节点</w:t>
      </w:r>
      <w:r>
        <w:rPr>
          <w:rFonts w:hint="default" w:ascii="Times New Roman" w:hAnsi="Times New Roman" w:eastAsia="方正仿宋_GBK" w:cs="Times New Roman"/>
          <w:color w:val="auto"/>
          <w:sz w:val="31"/>
          <w:szCs w:val="31"/>
          <w:lang w:val="en-US" w:eastAsia="zh-CN"/>
        </w:rPr>
        <w:t>，加快编制相思湖景区旅游规划，完善景区基础设施建设，丰富完善景区功能和旅游项目，引入优质水源，</w:t>
      </w:r>
      <w:r>
        <w:rPr>
          <w:rFonts w:hint="eastAsia" w:ascii="Times New Roman" w:hAnsi="Times New Roman" w:eastAsia="方正仿宋_GBK" w:cs="Times New Roman"/>
          <w:color w:val="auto"/>
          <w:sz w:val="31"/>
          <w:szCs w:val="31"/>
          <w:lang w:val="en-US" w:eastAsia="zh-CN"/>
        </w:rPr>
        <w:t>逐步</w:t>
      </w:r>
      <w:r>
        <w:rPr>
          <w:rFonts w:hint="default" w:ascii="Times New Roman" w:hAnsi="Times New Roman" w:eastAsia="方正仿宋_GBK" w:cs="Times New Roman"/>
          <w:color w:val="auto"/>
          <w:sz w:val="31"/>
          <w:szCs w:val="31"/>
          <w:lang w:val="en-US" w:eastAsia="zh-CN"/>
        </w:rPr>
        <w:t>扩大景区湖面，同步做好生态环境保护工作，推动景区项目改造升级，带动</w:t>
      </w:r>
      <w:r>
        <w:rPr>
          <w:rFonts w:hint="eastAsia" w:ascii="Times New Roman" w:hAnsi="Times New Roman" w:eastAsia="方正仿宋_GBK" w:cs="Times New Roman"/>
          <w:color w:val="auto"/>
          <w:sz w:val="31"/>
          <w:szCs w:val="31"/>
          <w:lang w:val="en-US" w:eastAsia="zh-CN"/>
        </w:rPr>
        <w:t>周边村民</w:t>
      </w:r>
      <w:r>
        <w:rPr>
          <w:rFonts w:hint="default" w:ascii="Times New Roman" w:hAnsi="Times New Roman" w:eastAsia="方正仿宋_GBK" w:cs="Times New Roman"/>
          <w:color w:val="auto"/>
          <w:sz w:val="31"/>
          <w:szCs w:val="31"/>
          <w:lang w:val="en-US" w:eastAsia="zh-CN"/>
        </w:rPr>
        <w:t>从事餐饮、旅游服务、小商品售卖等工作，让当地居民享受到旅游红利，打造集旅游度假、芦苇水产养殖、野鸟繁育、拓展训练等为</w:t>
      </w:r>
      <w:r>
        <w:rPr>
          <w:rFonts w:hint="eastAsia" w:ascii="Times New Roman" w:hAnsi="Times New Roman" w:eastAsia="方正仿宋_GBK" w:cs="Times New Roman"/>
          <w:color w:val="auto"/>
          <w:sz w:val="31"/>
          <w:szCs w:val="31"/>
          <w:lang w:val="en-US" w:eastAsia="zh-CN"/>
        </w:rPr>
        <w:t>一</w:t>
      </w:r>
      <w:r>
        <w:rPr>
          <w:rFonts w:hint="default" w:ascii="Times New Roman" w:hAnsi="Times New Roman" w:eastAsia="方正仿宋_GBK" w:cs="Times New Roman"/>
          <w:color w:val="auto"/>
          <w:sz w:val="31"/>
          <w:szCs w:val="31"/>
          <w:lang w:val="en-US" w:eastAsia="zh-CN"/>
        </w:rPr>
        <w:t>体的国家级生态旅游景区</w:t>
      </w:r>
      <w:r>
        <w:rPr>
          <w:rFonts w:hint="eastAsia" w:ascii="Times New Roman" w:hAnsi="Times New Roman" w:eastAsia="方正仿宋_GBK" w:cs="Times New Roman"/>
          <w:color w:val="auto"/>
          <w:sz w:val="31"/>
          <w:szCs w:val="31"/>
          <w:lang w:val="en-US" w:eastAsia="zh-CN"/>
        </w:rPr>
        <w:t>；</w:t>
      </w:r>
      <w:r>
        <w:rPr>
          <w:rFonts w:hint="eastAsia" w:ascii="Times New Roman" w:hAnsi="Times New Roman" w:eastAsia="方正仿宋_GBK" w:cs="Times New Roman"/>
          <w:sz w:val="31"/>
          <w:szCs w:val="31"/>
          <w:lang w:val="en-US" w:eastAsia="zh-CN"/>
        </w:rPr>
        <w:t>围绕</w:t>
      </w:r>
      <w:r>
        <w:rPr>
          <w:rFonts w:hint="eastAsia" w:ascii="方正黑体_GBK" w:hAnsi="方正黑体_GBK" w:eastAsia="方正黑体_GBK" w:cs="方正黑体_GBK"/>
          <w:sz w:val="31"/>
          <w:szCs w:val="31"/>
          <w:lang w:val="en-US" w:eastAsia="zh-CN"/>
        </w:rPr>
        <w:t>河北巴州生态产业园</w:t>
      </w:r>
      <w:r>
        <w:rPr>
          <w:rFonts w:hint="eastAsia" w:ascii="Times New Roman" w:hAnsi="Times New Roman" w:eastAsia="方正仿宋_GBK" w:cs="方正仿宋_GBK"/>
          <w:sz w:val="31"/>
          <w:szCs w:val="31"/>
          <w:lang w:val="en-US" w:eastAsia="zh-CN"/>
        </w:rPr>
        <w:t>节点</w:t>
      </w:r>
      <w:r>
        <w:rPr>
          <w:rFonts w:hint="eastAsia" w:ascii="Times New Roman" w:hAnsi="Times New Roman" w:eastAsia="方正仿宋_GBK" w:cs="Times New Roman"/>
          <w:color w:val="auto"/>
          <w:sz w:val="31"/>
          <w:szCs w:val="31"/>
          <w:lang w:val="en-US" w:eastAsia="zh-CN"/>
        </w:rPr>
        <w:t>，持续抓好园区基础设施、配套服务、重点项目“三项重点工作”，紧盯临铁物流园、邢美矿业、晨光生物等重大项目不放松，焉耆货运站搬迁提上日程，重点发展农副产品精深加工、装备制造、环保建材和现代物流等产业，切实把园区打造成为巴州经济新的增长极、对口援疆工作的示范区、拉动县域经济增长的主战场。</w:t>
      </w:r>
      <w:r>
        <w:rPr>
          <w:rFonts w:hint="eastAsia" w:ascii="Times New Roman" w:hAnsi="Times New Roman" w:eastAsia="方正仿宋_GBK" w:cs="Times New Roman"/>
          <w:sz w:val="31"/>
          <w:szCs w:val="31"/>
          <w:lang w:val="en-US" w:eastAsia="zh-CN"/>
        </w:rPr>
        <w:t>借助万亩葡萄园及G0711</w:t>
      </w:r>
      <w:r>
        <w:rPr>
          <w:rFonts w:hint="default" w:ascii="Times New Roman" w:hAnsi="Times New Roman" w:eastAsia="方正仿宋_GBK" w:cs="Times New Roman"/>
          <w:sz w:val="31"/>
          <w:szCs w:val="31"/>
        </w:rPr>
        <w:t>乌尉高速</w:t>
      </w: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G218国道等</w:t>
      </w:r>
      <w:r>
        <w:rPr>
          <w:rFonts w:hint="eastAsia" w:ascii="Times New Roman" w:hAnsi="Times New Roman" w:eastAsia="方正仿宋_GBK" w:cs="Times New Roman"/>
          <w:sz w:val="31"/>
          <w:szCs w:val="31"/>
          <w:lang w:eastAsia="zh-CN"/>
        </w:rPr>
        <w:t>交通优势，</w:t>
      </w:r>
      <w:r>
        <w:rPr>
          <w:rFonts w:hint="default" w:ascii="Times New Roman" w:hAnsi="Times New Roman" w:eastAsia="方正仿宋_GBK" w:cs="Times New Roman"/>
          <w:sz w:val="31"/>
          <w:szCs w:val="31"/>
          <w:lang w:val="en-US" w:eastAsia="zh-CN"/>
        </w:rPr>
        <w:t>辐射带动</w:t>
      </w:r>
      <w:r>
        <w:rPr>
          <w:rFonts w:hint="eastAsia" w:ascii="方正黑体_GBK" w:hAnsi="方正黑体_GBK" w:eastAsia="方正黑体_GBK" w:cs="方正黑体_GBK"/>
          <w:sz w:val="31"/>
          <w:szCs w:val="31"/>
          <w:lang w:val="en-US" w:eastAsia="zh-CN"/>
        </w:rPr>
        <w:t>七个星镇</w:t>
      </w:r>
      <w:r>
        <w:rPr>
          <w:rFonts w:hint="eastAsia" w:ascii="Times New Roman" w:hAnsi="Times New Roman" w:eastAsia="方正仿宋_GBK" w:cs="Times New Roman"/>
          <w:sz w:val="31"/>
          <w:szCs w:val="31"/>
          <w:lang w:val="en-US" w:eastAsia="zh-CN"/>
        </w:rPr>
        <w:t>打造葡萄酒小镇；借助全疆首个乡镇东归历史博物馆，优化升级周边功能，充分发挥自治区“江格尔”传承基地，带动民族文化艺术产业发展，带动各族农牧民就业创业增收，辐射带动</w:t>
      </w:r>
      <w:r>
        <w:rPr>
          <w:rFonts w:hint="eastAsia" w:ascii="方正黑体_GBK" w:hAnsi="方正黑体_GBK" w:eastAsia="方正黑体_GBK" w:cs="方正黑体_GBK"/>
          <w:sz w:val="31"/>
          <w:szCs w:val="31"/>
          <w:lang w:val="en-US" w:eastAsia="zh-CN"/>
        </w:rPr>
        <w:t>包尔海乡</w:t>
      </w:r>
      <w:r>
        <w:rPr>
          <w:rFonts w:hint="eastAsia" w:ascii="Times New Roman" w:hAnsi="Times New Roman" w:eastAsia="方正仿宋_GBK" w:cs="Times New Roman"/>
          <w:sz w:val="31"/>
          <w:szCs w:val="31"/>
          <w:lang w:val="en-US" w:eastAsia="zh-CN"/>
        </w:rPr>
        <w:t>打造蒙古风情小镇；辐射带动</w:t>
      </w:r>
      <w:r>
        <w:rPr>
          <w:rFonts w:hint="default" w:ascii="方正黑体_GBK" w:hAnsi="方正黑体_GBK" w:eastAsia="方正黑体_GBK" w:cs="方正黑体_GBK"/>
          <w:sz w:val="31"/>
          <w:szCs w:val="31"/>
          <w:lang w:val="en-US" w:eastAsia="zh-CN"/>
        </w:rPr>
        <w:t>查汗采开乡、良种场、王家庄牧场</w:t>
      </w:r>
      <w:r>
        <w:rPr>
          <w:rFonts w:hint="eastAsia" w:ascii="Times New Roman" w:hAnsi="Times New Roman" w:eastAsia="方正仿宋_GBK" w:cs="Times New Roman"/>
          <w:sz w:val="31"/>
          <w:szCs w:val="31"/>
          <w:lang w:val="en-US" w:eastAsia="zh-CN"/>
        </w:rPr>
        <w:t>发展辣椒种植、板栗南瓜种植和全产业链畜禽养殖发展模式</w:t>
      </w:r>
      <w:r>
        <w:rPr>
          <w:rFonts w:hint="default" w:ascii="Times New Roman" w:hAnsi="Times New Roman" w:eastAsia="方正仿宋_GBK" w:cs="Times New Roman"/>
          <w:sz w:val="31"/>
          <w:szCs w:val="31"/>
          <w:lang w:val="en-US" w:eastAsia="zh-CN"/>
        </w:rPr>
        <w:t>，形成产城融合、城乡融合、兵地融合、功能完善、各具特色、错位发展的格局。</w:t>
      </w:r>
      <w:bookmarkStart w:id="111" w:name="_Toc7169"/>
    </w:p>
    <w:p>
      <w:pPr>
        <w:pStyle w:val="7"/>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default" w:ascii="方正楷体_GBK" w:hAnsi="方正楷体_GBK" w:eastAsia="方正楷体_GBK" w:cs="方正楷体_GBK"/>
          <w:b w:val="0"/>
          <w:bCs/>
          <w:sz w:val="31"/>
          <w:szCs w:val="31"/>
          <w:lang w:val="en-US" w:eastAsia="zh-CN"/>
        </w:rPr>
      </w:pPr>
    </w:p>
    <w:tbl>
      <w:tblPr>
        <w:tblStyle w:val="15"/>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5"/>
        <w:gridCol w:w="5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60" w:type="dxa"/>
            <w:gridSpan w:val="2"/>
            <w:tcBorders>
              <w:top w:val="thinThickSmallGap" w:color="auto" w:sz="24" w:space="0"/>
              <w:left w:val="thinThickSmallGap" w:color="auto" w:sz="24" w:space="0"/>
              <w:bottom w:val="thinThickSmallGap" w:color="auto" w:sz="24" w:space="0"/>
              <w:right w:val="thinThickSmallGap" w:color="auto" w:sz="24" w:space="0"/>
            </w:tcBorders>
          </w:tcPr>
          <w:p>
            <w:pPr>
              <w:spacing w:after="0" w:line="240" w:lineRule="auto"/>
            </w:pPr>
            <w:r>
              <w:rPr>
                <w:rFonts w:hint="eastAsia" w:ascii="方正黑体_GBK" w:hAnsi="方正黑体_GBK" w:eastAsia="方正黑体_GBK" w:cs="方正黑体_GBK"/>
                <w:lang w:eastAsia="zh-CN"/>
              </w:rPr>
              <w:t>专栏：</w:t>
            </w:r>
            <w:r>
              <w:rPr>
                <w:rFonts w:hint="eastAsia" w:ascii="方正黑体_GBK" w:hAnsi="方正黑体_GBK" w:eastAsia="方正黑体_GBK" w:cs="方正黑体_GBK"/>
                <w:lang w:eastAsia="en-US"/>
              </w:rPr>
              <w:t>项目支撑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5" w:type="dxa"/>
            <w:tcBorders>
              <w:top w:val="thinThickSmallGap" w:color="auto" w:sz="24" w:space="0"/>
              <w:left w:val="thinThickSmallGap" w:color="auto" w:sz="24" w:space="0"/>
              <w:bottom w:val="thinThickSmallGap" w:color="auto" w:sz="24" w:space="0"/>
              <w:right w:val="thinThickSmallGap" w:color="auto" w:sz="24" w:space="0"/>
            </w:tcBorders>
            <w:vAlign w:val="top"/>
          </w:tcPr>
          <w:p>
            <w:pPr>
              <w:keepNext w:val="0"/>
              <w:keepLines w:val="0"/>
              <w:pageBreakBefore w:val="0"/>
              <w:kinsoku/>
              <w:wordWrap/>
              <w:overflowPunct/>
              <w:topLinePunct w:val="0"/>
              <w:autoSpaceDE/>
              <w:autoSpaceDN/>
              <w:bidi w:val="0"/>
              <w:adjustRightInd w:val="0"/>
              <w:snapToGrid/>
              <w:spacing w:after="0" w:line="300" w:lineRule="exact"/>
              <w:ind w:left="0" w:leftChars="0" w:right="0" w:rightChars="0" w:firstLine="0" w:firstLineChars="0"/>
              <w:jc w:val="both"/>
              <w:outlineLvl w:val="9"/>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焉耆县河北巴州生态产业园临铁物流园项目（二期）</w:t>
            </w:r>
          </w:p>
        </w:tc>
        <w:tc>
          <w:tcPr>
            <w:tcW w:w="5595" w:type="dxa"/>
            <w:tcBorders>
              <w:top w:val="thinThickSmallGap" w:color="auto" w:sz="24" w:space="0"/>
              <w:left w:val="thinThickSmallGap" w:color="auto" w:sz="24" w:space="0"/>
              <w:bottom w:val="thinThickSmallGap" w:color="auto" w:sz="24" w:space="0"/>
              <w:right w:val="thinThickSmallGap" w:color="auto" w:sz="24" w:space="0"/>
            </w:tcBorders>
            <w:vAlign w:val="top"/>
          </w:tcPr>
          <w:p>
            <w:pPr>
              <w:keepNext w:val="0"/>
              <w:keepLines w:val="0"/>
              <w:pageBreakBefore w:val="0"/>
              <w:kinsoku/>
              <w:wordWrap/>
              <w:overflowPunct/>
              <w:topLinePunct w:val="0"/>
              <w:autoSpaceDE/>
              <w:autoSpaceDN/>
              <w:bidi w:val="0"/>
              <w:adjustRightInd w:val="0"/>
              <w:snapToGrid/>
              <w:spacing w:after="0" w:line="300" w:lineRule="exact"/>
              <w:ind w:left="0" w:leftChars="0" w:right="0" w:rightChars="0" w:firstLine="0" w:firstLineChars="0"/>
              <w:jc w:val="both"/>
              <w:outlineLvl w:val="9"/>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依托南疆双线电气化铁路，新建紫泥泉货运站1座，规划仓储物流园区8.5平方公里，园区建设达七通一平并建设2栋5000㎡商业设施、5栋标准化厂房、10栋仓储用房、管理用房等相关配套设施。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065" w:type="dxa"/>
            <w:tcBorders>
              <w:top w:val="thinThickSmallGap" w:color="auto" w:sz="24" w:space="0"/>
              <w:left w:val="thinThickSmallGap" w:color="auto" w:sz="24" w:space="0"/>
              <w:bottom w:val="thinThickSmallGap" w:color="auto" w:sz="24" w:space="0"/>
              <w:right w:val="thinThickSmallGap" w:color="auto" w:sz="24" w:space="0"/>
            </w:tcBorders>
            <w:vAlign w:val="top"/>
          </w:tcPr>
          <w:p>
            <w:pPr>
              <w:keepNext w:val="0"/>
              <w:keepLines w:val="0"/>
              <w:pageBreakBefore w:val="0"/>
              <w:kinsoku/>
              <w:wordWrap/>
              <w:overflowPunct/>
              <w:topLinePunct w:val="0"/>
              <w:autoSpaceDE/>
              <w:autoSpaceDN/>
              <w:bidi w:val="0"/>
              <w:adjustRightInd w:val="0"/>
              <w:snapToGrid/>
              <w:spacing w:after="0" w:line="300" w:lineRule="exact"/>
              <w:ind w:left="0" w:leftChars="0" w:right="0" w:rightChars="0" w:firstLine="0" w:firstLineChars="0"/>
              <w:jc w:val="both"/>
              <w:outlineLvl w:val="9"/>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临铁经济区公铁联运货运站建设项目</w:t>
            </w:r>
          </w:p>
        </w:tc>
        <w:tc>
          <w:tcPr>
            <w:tcW w:w="5595" w:type="dxa"/>
            <w:tcBorders>
              <w:top w:val="thinThickSmallGap" w:color="auto" w:sz="24" w:space="0"/>
              <w:left w:val="thinThickSmallGap" w:color="auto" w:sz="24" w:space="0"/>
              <w:bottom w:val="thinThickSmallGap" w:color="auto" w:sz="24" w:space="0"/>
              <w:right w:val="thinThickSmallGap" w:color="auto" w:sz="24" w:space="0"/>
            </w:tcBorders>
            <w:vAlign w:val="top"/>
          </w:tcPr>
          <w:p>
            <w:pPr>
              <w:keepNext w:val="0"/>
              <w:keepLines w:val="0"/>
              <w:pageBreakBefore w:val="0"/>
              <w:kinsoku/>
              <w:wordWrap/>
              <w:overflowPunct/>
              <w:topLinePunct w:val="0"/>
              <w:autoSpaceDE/>
              <w:autoSpaceDN/>
              <w:bidi w:val="0"/>
              <w:adjustRightInd w:val="0"/>
              <w:snapToGrid/>
              <w:spacing w:after="0" w:line="300" w:lineRule="exact"/>
              <w:ind w:left="0" w:leftChars="0" w:right="0" w:rightChars="0" w:firstLine="0" w:firstLineChars="0"/>
              <w:jc w:val="both"/>
              <w:outlineLvl w:val="9"/>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对南疆线K422+800至K426+300段落线路改移重建，共计5.6公里，同步新开紫泥泉车站及相关配套设施，车站设5条到发线（含正线2条），车站西端站房对侧设牵出线1条。站房对侧平行车站设货物装卸线2条及相关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065" w:type="dxa"/>
            <w:tcBorders>
              <w:top w:val="thinThickSmallGap" w:color="auto" w:sz="24" w:space="0"/>
              <w:left w:val="thinThickSmallGap" w:color="auto" w:sz="24" w:space="0"/>
              <w:bottom w:val="thinThickSmallGap" w:color="auto" w:sz="24" w:space="0"/>
              <w:right w:val="thinThickSmallGap" w:color="auto" w:sz="24" w:space="0"/>
            </w:tcBorders>
            <w:vAlign w:val="top"/>
          </w:tcPr>
          <w:p>
            <w:pPr>
              <w:keepNext w:val="0"/>
              <w:keepLines w:val="0"/>
              <w:pageBreakBefore w:val="0"/>
              <w:kinsoku/>
              <w:wordWrap/>
              <w:overflowPunct/>
              <w:topLinePunct w:val="0"/>
              <w:autoSpaceDE/>
              <w:autoSpaceDN/>
              <w:bidi w:val="0"/>
              <w:adjustRightInd w:val="0"/>
              <w:snapToGrid/>
              <w:spacing w:after="0" w:line="300" w:lineRule="exact"/>
              <w:ind w:left="0" w:leftChars="0" w:right="0" w:rightChars="0" w:firstLine="0" w:firstLineChars="0"/>
              <w:jc w:val="both"/>
              <w:outlineLvl w:val="9"/>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焉耆西大桥改造提升建设项目</w:t>
            </w:r>
          </w:p>
        </w:tc>
        <w:tc>
          <w:tcPr>
            <w:tcW w:w="5595"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kinsoku/>
              <w:wordWrap/>
              <w:overflowPunct/>
              <w:topLinePunct w:val="0"/>
              <w:autoSpaceDE/>
              <w:autoSpaceDN/>
              <w:bidi w:val="0"/>
              <w:adjustRightInd w:val="0"/>
              <w:snapToGrid/>
              <w:spacing w:after="0" w:line="300" w:lineRule="exact"/>
              <w:ind w:left="0" w:leftChars="0" w:right="0" w:rightChars="0" w:firstLine="0" w:firstLineChars="0"/>
              <w:jc w:val="both"/>
              <w:outlineLvl w:val="9"/>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桥梁全长410米，项目类型：村道危桥改造工程，基础、桥梁下部结构、桥梁上部结构、桥梁附属设施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065" w:type="dxa"/>
            <w:tcBorders>
              <w:top w:val="thinThickSmallGap" w:color="auto" w:sz="24" w:space="0"/>
              <w:left w:val="thinThickSmallGap" w:color="auto" w:sz="24" w:space="0"/>
              <w:bottom w:val="thinThickSmallGap" w:color="auto" w:sz="24" w:space="0"/>
              <w:right w:val="thinThickSmallGap" w:color="auto" w:sz="24" w:space="0"/>
            </w:tcBorders>
            <w:vAlign w:val="top"/>
          </w:tcPr>
          <w:p>
            <w:pPr>
              <w:keepNext w:val="0"/>
              <w:keepLines w:val="0"/>
              <w:pageBreakBefore w:val="0"/>
              <w:kinsoku/>
              <w:wordWrap/>
              <w:overflowPunct/>
              <w:topLinePunct w:val="0"/>
              <w:autoSpaceDE/>
              <w:autoSpaceDN/>
              <w:bidi w:val="0"/>
              <w:adjustRightInd w:val="0"/>
              <w:snapToGrid/>
              <w:spacing w:after="0" w:line="300" w:lineRule="exact"/>
              <w:ind w:left="0" w:leftChars="0" w:right="0" w:rightChars="0" w:firstLine="0" w:firstLineChars="0"/>
              <w:jc w:val="both"/>
              <w:outlineLvl w:val="9"/>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焉耆县南河路片区棚户区改造</w:t>
            </w:r>
          </w:p>
        </w:tc>
        <w:tc>
          <w:tcPr>
            <w:tcW w:w="5595" w:type="dxa"/>
            <w:tcBorders>
              <w:top w:val="thinThickSmallGap" w:color="auto" w:sz="24" w:space="0"/>
              <w:left w:val="thinThickSmallGap" w:color="auto" w:sz="24" w:space="0"/>
              <w:bottom w:val="thinThickSmallGap" w:color="auto" w:sz="24" w:space="0"/>
              <w:right w:val="thinThickSmallGap" w:color="auto" w:sz="24" w:space="0"/>
            </w:tcBorders>
            <w:vAlign w:val="top"/>
          </w:tcPr>
          <w:p>
            <w:pPr>
              <w:keepNext w:val="0"/>
              <w:keepLines w:val="0"/>
              <w:pageBreakBefore w:val="0"/>
              <w:kinsoku/>
              <w:wordWrap/>
              <w:overflowPunct/>
              <w:topLinePunct w:val="0"/>
              <w:autoSpaceDE/>
              <w:autoSpaceDN/>
              <w:bidi w:val="0"/>
              <w:adjustRightInd w:val="0"/>
              <w:snapToGrid/>
              <w:spacing w:after="0" w:line="300" w:lineRule="exact"/>
              <w:ind w:left="0" w:leftChars="0" w:right="0" w:rightChars="0" w:firstLine="0" w:firstLineChars="0"/>
              <w:jc w:val="both"/>
              <w:outlineLvl w:val="9"/>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完成焉耆县南河路片区棚户区改造300套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5" w:type="dxa"/>
            <w:tcBorders>
              <w:top w:val="thinThickSmallGap" w:color="auto" w:sz="24" w:space="0"/>
              <w:left w:val="thinThickSmallGap" w:color="auto" w:sz="24" w:space="0"/>
              <w:bottom w:val="thinThickSmallGap" w:color="auto" w:sz="24" w:space="0"/>
              <w:right w:val="thinThickSmallGap" w:color="auto" w:sz="24" w:space="0"/>
            </w:tcBorders>
            <w:vAlign w:val="top"/>
          </w:tcPr>
          <w:p>
            <w:pPr>
              <w:keepNext w:val="0"/>
              <w:keepLines w:val="0"/>
              <w:pageBreakBefore w:val="0"/>
              <w:kinsoku/>
              <w:wordWrap/>
              <w:overflowPunct/>
              <w:topLinePunct w:val="0"/>
              <w:autoSpaceDE/>
              <w:autoSpaceDN/>
              <w:bidi w:val="0"/>
              <w:adjustRightInd w:val="0"/>
              <w:snapToGrid/>
              <w:spacing w:after="0" w:line="300" w:lineRule="exact"/>
              <w:ind w:left="0" w:leftChars="0" w:right="0" w:rightChars="0" w:firstLine="0" w:firstLineChars="0"/>
              <w:jc w:val="both"/>
              <w:outlineLvl w:val="9"/>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焉耆县老旧小区改造</w:t>
            </w:r>
          </w:p>
        </w:tc>
        <w:tc>
          <w:tcPr>
            <w:tcW w:w="5595" w:type="dxa"/>
            <w:tcBorders>
              <w:top w:val="thinThickSmallGap" w:color="auto" w:sz="24" w:space="0"/>
              <w:left w:val="thinThickSmallGap" w:color="auto" w:sz="24" w:space="0"/>
              <w:bottom w:val="thinThickSmallGap" w:color="auto" w:sz="24" w:space="0"/>
              <w:right w:val="thinThickSmallGap" w:color="auto" w:sz="24" w:space="0"/>
            </w:tcBorders>
            <w:vAlign w:val="top"/>
          </w:tcPr>
          <w:p>
            <w:pPr>
              <w:keepNext w:val="0"/>
              <w:keepLines w:val="0"/>
              <w:pageBreakBefore w:val="0"/>
              <w:kinsoku/>
              <w:wordWrap/>
              <w:overflowPunct/>
              <w:topLinePunct w:val="0"/>
              <w:autoSpaceDE/>
              <w:autoSpaceDN/>
              <w:bidi w:val="0"/>
              <w:adjustRightInd w:val="0"/>
              <w:snapToGrid/>
              <w:spacing w:after="0" w:line="300" w:lineRule="exact"/>
              <w:ind w:left="0" w:leftChars="0" w:right="0" w:rightChars="0" w:firstLine="0" w:firstLineChars="0"/>
              <w:jc w:val="both"/>
              <w:outlineLvl w:val="9"/>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完成南岸1号、2号、3号小区46栋3716套保障性住房及普通住宅老旧小区改造任务。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5"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kinsoku/>
              <w:wordWrap/>
              <w:overflowPunct/>
              <w:topLinePunct w:val="0"/>
              <w:autoSpaceDE/>
              <w:autoSpaceDN/>
              <w:bidi w:val="0"/>
              <w:adjustRightInd w:val="0"/>
              <w:snapToGrid/>
              <w:spacing w:after="0" w:line="300" w:lineRule="exact"/>
              <w:ind w:left="0" w:leftChars="0" w:right="0" w:rightChars="0" w:firstLine="0" w:firstLineChars="0"/>
              <w:jc w:val="both"/>
              <w:outlineLvl w:val="9"/>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富硒板栗南瓜种植基地建设项目</w:t>
            </w:r>
          </w:p>
        </w:tc>
        <w:tc>
          <w:tcPr>
            <w:tcW w:w="5595"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kinsoku/>
              <w:wordWrap/>
              <w:overflowPunct/>
              <w:topLinePunct w:val="0"/>
              <w:autoSpaceDE/>
              <w:autoSpaceDN/>
              <w:bidi w:val="0"/>
              <w:adjustRightInd w:val="0"/>
              <w:snapToGrid/>
              <w:spacing w:after="0" w:line="300" w:lineRule="exact"/>
              <w:ind w:left="0" w:leftChars="0" w:right="0" w:rightChars="0" w:firstLine="0" w:firstLineChars="0"/>
              <w:jc w:val="both"/>
              <w:outlineLvl w:val="9"/>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建设面积1000亩，建设地点为七个星镇、良种场、王家庄牧场，实施高效节水、土地平整、田间道路、农田林网等基础设施建设，配套水肥一体化、品种试验示范等设施设备，配套建设仓储及交易市场等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065"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kinsoku/>
              <w:wordWrap/>
              <w:overflowPunct/>
              <w:topLinePunct w:val="0"/>
              <w:autoSpaceDE/>
              <w:autoSpaceDN/>
              <w:bidi w:val="0"/>
              <w:adjustRightInd w:val="0"/>
              <w:snapToGrid/>
              <w:spacing w:after="0" w:line="300" w:lineRule="exact"/>
              <w:ind w:left="0" w:leftChars="0" w:right="0" w:rightChars="0" w:firstLine="0" w:firstLineChars="0"/>
              <w:jc w:val="both"/>
              <w:outlineLvl w:val="9"/>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相思湖景区改造升级建设项目</w:t>
            </w:r>
          </w:p>
        </w:tc>
        <w:tc>
          <w:tcPr>
            <w:tcW w:w="5595" w:type="dxa"/>
            <w:tcBorders>
              <w:top w:val="thinThickSmallGap" w:color="auto" w:sz="24" w:space="0"/>
              <w:left w:val="thinThickSmallGap" w:color="auto" w:sz="24" w:space="0"/>
              <w:bottom w:val="thinThickSmallGap" w:color="auto" w:sz="24" w:space="0"/>
              <w:right w:val="thinThickSmallGap" w:color="auto" w:sz="24" w:space="0"/>
            </w:tcBorders>
            <w:vAlign w:val="top"/>
          </w:tcPr>
          <w:p>
            <w:pPr>
              <w:keepNext w:val="0"/>
              <w:keepLines w:val="0"/>
              <w:pageBreakBefore w:val="0"/>
              <w:kinsoku/>
              <w:wordWrap/>
              <w:overflowPunct/>
              <w:topLinePunct w:val="0"/>
              <w:autoSpaceDE/>
              <w:autoSpaceDN/>
              <w:bidi w:val="0"/>
              <w:adjustRightInd w:val="0"/>
              <w:snapToGrid/>
              <w:spacing w:after="0" w:line="300" w:lineRule="exact"/>
              <w:ind w:left="0" w:leftChars="0" w:right="0" w:rightChars="0" w:firstLine="0" w:firstLineChars="0"/>
              <w:jc w:val="both"/>
              <w:outlineLvl w:val="9"/>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总占地面积1.4万亩荒地滩涂及1.5万亩湖面水域，计划建成以相思湖区原有景观为基础、参考国家5A级景区标准改造升级、以渔水文化和爱情文化为主题、融入吃住行游购娱商养学闲情奇旅游新老元素、面向年轻家庭为主、结合商务游、研学游、婚恋游、亲子游的乡村旅游、生态旅游新景区。</w:t>
            </w:r>
          </w:p>
        </w:tc>
      </w:tr>
    </w:tbl>
    <w:p>
      <w:pPr>
        <w:rPr>
          <w:rFonts w:hint="default"/>
          <w:lang w:val="en-US" w:eastAsia="zh-CN"/>
        </w:rPr>
      </w:pPr>
    </w:p>
    <w:p>
      <w:pPr>
        <w:pStyle w:val="7"/>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楷体_GBK" w:hAnsi="方正楷体_GBK" w:eastAsia="方正楷体_GBK" w:cs="方正楷体_GBK"/>
          <w:b w:val="0"/>
          <w:bCs/>
          <w:sz w:val="31"/>
          <w:szCs w:val="31"/>
          <w:lang w:val="en-US" w:eastAsia="zh-CN"/>
        </w:rPr>
      </w:pPr>
      <w:bookmarkStart w:id="112" w:name="_Toc16806"/>
      <w:bookmarkStart w:id="113" w:name="_Toc10668"/>
      <w:bookmarkStart w:id="114" w:name="_Toc20714"/>
      <w:bookmarkStart w:id="115" w:name="_Toc7815"/>
      <w:bookmarkStart w:id="116" w:name="_Toc27840"/>
      <w:r>
        <w:rPr>
          <w:rFonts w:hint="default" w:ascii="方正楷体_GBK" w:hAnsi="方正楷体_GBK" w:eastAsia="方正楷体_GBK" w:cs="方正楷体_GBK"/>
          <w:b w:val="0"/>
          <w:bCs/>
          <w:sz w:val="31"/>
          <w:szCs w:val="31"/>
          <w:lang w:val="en-US" w:eastAsia="zh-CN"/>
        </w:rPr>
        <w:t>第四节  着力打造焉耆盆地“六个中心”</w:t>
      </w:r>
      <w:bookmarkEnd w:id="109"/>
      <w:bookmarkEnd w:id="110"/>
      <w:bookmarkEnd w:id="111"/>
      <w:bookmarkEnd w:id="112"/>
      <w:bookmarkEnd w:id="113"/>
      <w:bookmarkEnd w:id="114"/>
      <w:bookmarkEnd w:id="115"/>
      <w:bookmarkEnd w:id="116"/>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立足基本县情、产业基础和资源环境条件，用足用好稳定红利，加强规划建设管理，补齐发展短板，助推发展升级，不断聚集人流、物流、资金流、信息流，加快培育发展实体经济、优化道路交通布局、提升三产服务业发展水平、营造优美宜居环境、彰显古城文化魅力、推动城乡统筹发展、全面提升辐射带动力，推动文化教育中心、医疗康养服务中心、农畜产品交易中心、农副产品精深加工中心、商贸物流中心、交通枢纽中心</w:t>
      </w:r>
      <w:r>
        <w:rPr>
          <w:rFonts w:hint="eastAsia" w:ascii="Times New Roman" w:hAnsi="Times New Roman" w:eastAsia="方正仿宋_GBK" w:cs="Times New Roman"/>
          <w:sz w:val="31"/>
          <w:szCs w:val="31"/>
          <w:lang w:val="en-US" w:eastAsia="zh-CN"/>
        </w:rPr>
        <w:t>焉耆盆地</w:t>
      </w:r>
      <w:r>
        <w:rPr>
          <w:rFonts w:hint="default" w:ascii="Times New Roman" w:hAnsi="Times New Roman" w:eastAsia="方正仿宋_GBK" w:cs="Times New Roman"/>
          <w:sz w:val="31"/>
          <w:szCs w:val="31"/>
          <w:lang w:val="en-US" w:eastAsia="zh-CN"/>
        </w:rPr>
        <w:t>“六个中心”</w:t>
      </w:r>
      <w:r>
        <w:rPr>
          <w:rFonts w:hint="eastAsia" w:ascii="Times New Roman" w:hAnsi="Times New Roman" w:eastAsia="方正仿宋_GBK" w:cs="Times New Roman"/>
          <w:sz w:val="31"/>
          <w:szCs w:val="31"/>
          <w:lang w:val="en-US" w:eastAsia="zh-CN"/>
        </w:rPr>
        <w:t>建设，增强焉耆盆地的整体创新力、竞争力、影响力和辐射带动力，引领焉耆盆地发展。</w:t>
      </w:r>
    </w:p>
    <w:p>
      <w:pPr>
        <w:bidi w:val="0"/>
        <w:rPr>
          <w:rFonts w:hint="default"/>
          <w:lang w:val="en-US" w:eastAsia="zh-CN"/>
        </w:rPr>
      </w:pPr>
      <w:bookmarkStart w:id="117" w:name="_Toc2568"/>
      <w:bookmarkStart w:id="118" w:name="_Toc31701"/>
      <w:bookmarkStart w:id="119" w:name="_Toc31942"/>
    </w:p>
    <w:p>
      <w:pPr>
        <w:pStyle w:val="6"/>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黑体_GBK" w:hAnsi="方正黑体_GBK" w:eastAsia="方正黑体_GBK" w:cs="方正黑体_GBK"/>
          <w:b w:val="0"/>
          <w:bCs w:val="0"/>
          <w:sz w:val="31"/>
          <w:szCs w:val="31"/>
          <w:lang w:val="en-US" w:eastAsia="zh-CN"/>
        </w:rPr>
      </w:pPr>
      <w:bookmarkStart w:id="120" w:name="_Toc4916"/>
      <w:bookmarkStart w:id="121" w:name="_Toc2495"/>
      <w:bookmarkStart w:id="122" w:name="_Toc17253"/>
      <w:bookmarkStart w:id="123" w:name="_Toc19279"/>
      <w:bookmarkStart w:id="124" w:name="_Toc6064"/>
      <w:r>
        <w:rPr>
          <w:rFonts w:hint="default" w:ascii="方正黑体_GBK" w:hAnsi="方正黑体_GBK" w:eastAsia="方正黑体_GBK" w:cs="方正黑体_GBK"/>
          <w:b w:val="0"/>
          <w:bCs w:val="0"/>
          <w:sz w:val="31"/>
          <w:szCs w:val="31"/>
          <w:lang w:val="en-US" w:eastAsia="zh-CN"/>
        </w:rPr>
        <w:t>第四章  积极融入核心区建设，扎实推进对外开放</w:t>
      </w:r>
      <w:bookmarkEnd w:id="117"/>
      <w:bookmarkEnd w:id="118"/>
      <w:bookmarkEnd w:id="119"/>
      <w:bookmarkEnd w:id="120"/>
      <w:bookmarkEnd w:id="121"/>
      <w:bookmarkEnd w:id="122"/>
      <w:bookmarkEnd w:id="123"/>
      <w:bookmarkEnd w:id="124"/>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主动融入丝绸之路经济带中巴经济走廊综合承载中心建设，充分发挥交通枢纽区位优势，建设临铁物流园，努力建成辐射南疆的货运物流集散地和丝绸之路经济带中巴经济走廊综合承载区的重要节点。</w:t>
      </w:r>
    </w:p>
    <w:p>
      <w:pPr>
        <w:pStyle w:val="7"/>
        <w:keepNext/>
        <w:keepLines/>
        <w:pageBreakBefore w:val="0"/>
        <w:widowControl w:val="0"/>
        <w:kinsoku/>
        <w:wordWrap/>
        <w:overflowPunct/>
        <w:topLinePunct w:val="0"/>
        <w:autoSpaceDE/>
        <w:autoSpaceDN/>
        <w:bidi w:val="0"/>
        <w:adjustRightInd/>
        <w:snapToGrid/>
        <w:spacing w:before="0" w:after="0" w:line="600" w:lineRule="exact"/>
        <w:jc w:val="center"/>
        <w:textAlignment w:val="auto"/>
        <w:outlineLvl w:val="9"/>
        <w:rPr>
          <w:rFonts w:hint="default" w:ascii="方正楷体_GBK" w:hAnsi="方正楷体_GBK" w:eastAsia="方正楷体_GBK" w:cs="方正楷体_GBK"/>
          <w:b w:val="0"/>
          <w:bCs/>
          <w:sz w:val="31"/>
          <w:szCs w:val="31"/>
          <w:lang w:val="en-US" w:eastAsia="zh-CN"/>
        </w:rPr>
      </w:pPr>
      <w:bookmarkStart w:id="125" w:name="_Toc15558"/>
      <w:bookmarkStart w:id="126" w:name="_Toc12652"/>
      <w:bookmarkStart w:id="127" w:name="_Toc12351"/>
    </w:p>
    <w:p>
      <w:pPr>
        <w:pStyle w:val="7"/>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楷体_GBK" w:hAnsi="方正楷体_GBK" w:eastAsia="方正楷体_GBK" w:cs="方正楷体_GBK"/>
          <w:b w:val="0"/>
          <w:bCs/>
          <w:sz w:val="31"/>
          <w:szCs w:val="31"/>
          <w:lang w:val="en-US" w:eastAsia="zh-CN"/>
        </w:rPr>
      </w:pPr>
      <w:bookmarkStart w:id="128" w:name="_Toc10818"/>
      <w:bookmarkStart w:id="129" w:name="_Toc16308"/>
      <w:bookmarkStart w:id="130" w:name="_Toc25919"/>
      <w:bookmarkStart w:id="131" w:name="_Toc14451"/>
      <w:bookmarkStart w:id="132" w:name="_Toc18532"/>
      <w:r>
        <w:rPr>
          <w:rFonts w:hint="default" w:ascii="方正楷体_GBK" w:hAnsi="方正楷体_GBK" w:eastAsia="方正楷体_GBK" w:cs="方正楷体_GBK"/>
          <w:b w:val="0"/>
          <w:bCs/>
          <w:sz w:val="31"/>
          <w:szCs w:val="31"/>
          <w:lang w:val="en-US" w:eastAsia="zh-CN"/>
        </w:rPr>
        <w:t>第一节  主动融入“一带一路”丝绸之路核心区</w:t>
      </w:r>
      <w:r>
        <w:rPr>
          <w:rFonts w:hint="eastAsia" w:ascii="方正楷体_GBK" w:hAnsi="方正楷体_GBK" w:eastAsia="方正楷体_GBK" w:cs="方正楷体_GBK"/>
          <w:b w:val="0"/>
          <w:bCs/>
          <w:sz w:val="31"/>
          <w:szCs w:val="31"/>
          <w:lang w:val="en-US" w:eastAsia="zh-CN"/>
        </w:rPr>
        <w:t>节</w:t>
      </w:r>
      <w:r>
        <w:rPr>
          <w:rFonts w:hint="default" w:ascii="方正楷体_GBK" w:hAnsi="方正楷体_GBK" w:eastAsia="方正楷体_GBK" w:cs="方正楷体_GBK"/>
          <w:b w:val="0"/>
          <w:bCs/>
          <w:sz w:val="31"/>
          <w:szCs w:val="31"/>
          <w:lang w:val="en-US" w:eastAsia="zh-CN"/>
        </w:rPr>
        <w:t>点建设</w:t>
      </w:r>
      <w:bookmarkEnd w:id="125"/>
      <w:bookmarkEnd w:id="126"/>
      <w:bookmarkEnd w:id="127"/>
      <w:bookmarkEnd w:id="128"/>
      <w:bookmarkEnd w:id="129"/>
      <w:bookmarkEnd w:id="130"/>
      <w:bookmarkEnd w:id="131"/>
      <w:bookmarkEnd w:id="132"/>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eastAsia="zh-CN"/>
        </w:rPr>
        <w:t>紧紧抓住国家“一带一路”发展战略和自治区加快丝绸之路经济带核心区建设的历史机遇，依托丝绸之路经济带南通道建设，加快建设现代化立体式综合交通枢纽，完善临铁物流服务功能和现代商贸物流体系，构建物流集散中心和分拣中心，主动融入新发展格局。</w:t>
      </w:r>
      <w:bookmarkStart w:id="133" w:name="_Toc27203"/>
      <w:bookmarkStart w:id="134" w:name="_Toc19589"/>
      <w:bookmarkStart w:id="135" w:name="_Toc12112"/>
      <w:r>
        <w:rPr>
          <w:rFonts w:hint="eastAsia" w:ascii="Times New Roman" w:hAnsi="Times New Roman" w:eastAsia="方正仿宋_GBK" w:cs="Times New Roman"/>
          <w:sz w:val="31"/>
          <w:szCs w:val="31"/>
          <w:lang w:eastAsia="zh-CN"/>
        </w:rPr>
        <w:t>以紫泥泉站为基础，加快焉耆货运站建设，建成近期年吞吐量</w:t>
      </w:r>
      <w:r>
        <w:rPr>
          <w:rFonts w:hint="eastAsia" w:ascii="Times New Roman" w:hAnsi="Times New Roman" w:eastAsia="方正仿宋_GBK" w:cs="Times New Roman"/>
          <w:sz w:val="31"/>
          <w:szCs w:val="31"/>
          <w:lang w:val="en-US" w:eastAsia="zh-CN"/>
        </w:rPr>
        <w:t>300万吨、远期年吞吐量500万吨的现代化货运中转站。</w:t>
      </w:r>
      <w:r>
        <w:rPr>
          <w:rFonts w:hint="eastAsia" w:ascii="Times New Roman" w:hAnsi="Times New Roman" w:eastAsia="方正仿宋_GBK" w:cs="Times New Roman"/>
          <w:sz w:val="31"/>
          <w:szCs w:val="31"/>
          <w:lang w:eastAsia="zh-CN"/>
        </w:rPr>
        <w:t>利用</w:t>
      </w:r>
      <w:r>
        <w:rPr>
          <w:rFonts w:hint="eastAsia" w:ascii="Times New Roman" w:hAnsi="Times New Roman" w:eastAsia="方正仿宋_GBK" w:cs="Times New Roman"/>
          <w:sz w:val="31"/>
          <w:szCs w:val="31"/>
          <w:lang w:val="en-US" w:eastAsia="zh-CN"/>
        </w:rPr>
        <w:t>G0711线、和库高速、314国道等交通汇集点，构筑高效连接乌鲁木齐都市圈、北疆城市带、南疆城市群、格库铁路、出疆运输通道，建成区域性公铁联运的交通枢纽中心。加快</w:t>
      </w:r>
      <w:r>
        <w:rPr>
          <w:rFonts w:hint="default" w:ascii="Times New Roman" w:hAnsi="Times New Roman" w:eastAsia="方正仿宋_GBK" w:cs="Times New Roman"/>
          <w:sz w:val="31"/>
          <w:szCs w:val="31"/>
          <w:lang w:eastAsia="zh-CN"/>
        </w:rPr>
        <w:t>完善临铁物流服务功能和现代商贸物流体系，</w:t>
      </w:r>
      <w:r>
        <w:rPr>
          <w:rFonts w:hint="eastAsia" w:ascii="Times New Roman" w:hAnsi="Times New Roman" w:eastAsia="方正仿宋_GBK" w:cs="Times New Roman"/>
          <w:sz w:val="31"/>
          <w:szCs w:val="31"/>
          <w:lang w:eastAsia="zh-CN"/>
        </w:rPr>
        <w:t>建设铁路专用线及仓储交易区，</w:t>
      </w:r>
      <w:r>
        <w:rPr>
          <w:rFonts w:hint="default" w:ascii="Times New Roman" w:hAnsi="Times New Roman" w:eastAsia="方正仿宋_GBK" w:cs="Times New Roman"/>
          <w:sz w:val="31"/>
          <w:szCs w:val="31"/>
          <w:lang w:eastAsia="zh-CN"/>
        </w:rPr>
        <w:t>构建物流集散中心和分拣中心，主动融入新发展格局。</w:t>
      </w:r>
    </w:p>
    <w:p>
      <w:pPr>
        <w:rPr>
          <w:rFonts w:hint="default"/>
          <w:lang w:val="en-US" w:eastAsia="zh-CN"/>
        </w:rPr>
      </w:pPr>
      <w:bookmarkStart w:id="136" w:name="_Toc12024"/>
      <w:bookmarkStart w:id="137" w:name="_Toc22622"/>
      <w:bookmarkStart w:id="138" w:name="_Toc10003"/>
      <w:bookmarkStart w:id="139" w:name="_Toc29205"/>
      <w:bookmarkStart w:id="140" w:name="_Toc10637"/>
    </w:p>
    <w:p>
      <w:pPr>
        <w:pStyle w:val="7"/>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楷体_GBK" w:hAnsi="方正楷体_GBK" w:eastAsia="方正楷体_GBK" w:cs="方正楷体_GBK"/>
          <w:b w:val="0"/>
          <w:bCs/>
          <w:sz w:val="31"/>
          <w:szCs w:val="31"/>
          <w:lang w:val="en-US" w:eastAsia="zh-CN"/>
        </w:rPr>
      </w:pPr>
      <w:r>
        <w:rPr>
          <w:rFonts w:hint="default" w:ascii="方正楷体_GBK" w:hAnsi="方正楷体_GBK" w:eastAsia="方正楷体_GBK" w:cs="方正楷体_GBK"/>
          <w:b w:val="0"/>
          <w:bCs/>
          <w:sz w:val="31"/>
          <w:szCs w:val="31"/>
          <w:lang w:val="en-US" w:eastAsia="zh-CN"/>
        </w:rPr>
        <w:t>第二节  加大招商引资力度</w:t>
      </w:r>
      <w:bookmarkEnd w:id="133"/>
      <w:bookmarkEnd w:id="134"/>
      <w:bookmarkEnd w:id="135"/>
      <w:bookmarkEnd w:id="136"/>
      <w:bookmarkEnd w:id="137"/>
      <w:bookmarkEnd w:id="138"/>
      <w:bookmarkEnd w:id="139"/>
      <w:bookmarkEnd w:id="140"/>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bookmarkStart w:id="141" w:name="_Toc22253"/>
      <w:bookmarkStart w:id="142" w:name="_Toc1268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20" w:firstLineChars="200"/>
        <w:jc w:val="both"/>
        <w:textAlignment w:val="auto"/>
        <w:outlineLvl w:val="9"/>
        <w:rPr>
          <w:rFonts w:hint="default" w:ascii="Times New Roman" w:hAnsi="Times New Roman" w:eastAsia="方正仿宋_GBK" w:cs="Times New Roman"/>
          <w:color w:val="auto"/>
          <w:sz w:val="31"/>
          <w:szCs w:val="31"/>
          <w:lang w:val="en-US" w:eastAsia="zh-CN"/>
        </w:rPr>
      </w:pPr>
      <w:r>
        <w:rPr>
          <w:rFonts w:hint="default" w:ascii="Times New Roman" w:hAnsi="Times New Roman" w:eastAsia="方正仿宋_GBK" w:cs="Times New Roman"/>
          <w:sz w:val="31"/>
          <w:szCs w:val="31"/>
          <w:lang w:val="en-US" w:eastAsia="zh-CN"/>
        </w:rPr>
        <w:t>创新招商引资方式，加强专业招商队伍建设，健全招商引资政策机制，制定招商引资指引目录，营造招商引资优质环境，力争招商引资工作实现重大突破</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坚持危中寻机、化危为机，迎难而上、攻坚克难，坚定不移推动经济高质量发展，推进招商引资总量和质量实现更大突破，促进项目建设按时序加快推进，力争招商引资工作见真效，努力实现经济社会高质量发展。</w:t>
      </w:r>
      <w:r>
        <w:rPr>
          <w:rFonts w:hint="default" w:ascii="Times New Roman" w:hAnsi="Times New Roman" w:eastAsia="方正仿宋_GBK" w:cs="Times New Roman"/>
          <w:color w:val="auto"/>
          <w:sz w:val="31"/>
          <w:szCs w:val="31"/>
          <w:lang w:val="en-US" w:eastAsia="zh-CN"/>
        </w:rPr>
        <w:t>把引进一批重大产业、高科技含量、名牌企业、创税能力高的项目作为招商引资的主攻方向和重点，瞄准世界500强、国内500强、行业500强企业及高新技术、新能源开发利用等重点产业领域开展招大引强活动</w:t>
      </w:r>
      <w:r>
        <w:rPr>
          <w:rFonts w:hint="eastAsia" w:ascii="Times New Roman" w:hAnsi="Times New Roman" w:eastAsia="方正仿宋_GBK" w:cs="Times New Roman"/>
          <w:color w:val="auto"/>
          <w:sz w:val="31"/>
          <w:szCs w:val="31"/>
          <w:lang w:val="en-US" w:eastAsia="zh-CN"/>
        </w:rPr>
        <w:t>。</w:t>
      </w:r>
      <w:r>
        <w:rPr>
          <w:rFonts w:hint="default" w:ascii="Times New Roman" w:hAnsi="Times New Roman" w:eastAsia="方正仿宋_GBK" w:cs="Times New Roman"/>
          <w:sz w:val="31"/>
          <w:szCs w:val="31"/>
          <w:lang w:val="en-US" w:eastAsia="zh-CN"/>
        </w:rPr>
        <w:t>围绕我县优势资源和产业，加强与河北省产业的互联互动互通，加大对长三角、珠三角等东部经济发达区块的招商引资力度，招商重点聚焦在有质量、增效益、可持续的项目上，推动招商引资项目高质量发展。</w:t>
      </w:r>
      <w:r>
        <w:rPr>
          <w:rFonts w:hint="eastAsia" w:ascii="Times New Roman" w:hAnsi="Times New Roman" w:eastAsia="方正仿宋_GBK" w:cs="Times New Roman"/>
          <w:sz w:val="31"/>
          <w:szCs w:val="31"/>
          <w:lang w:val="en-US" w:eastAsia="zh-CN"/>
        </w:rPr>
        <w:t>“十四五”末，</w:t>
      </w:r>
      <w:r>
        <w:rPr>
          <w:rFonts w:hint="default" w:ascii="Times New Roman" w:hAnsi="Times New Roman" w:eastAsia="方正仿宋_GBK" w:cs="Times New Roman"/>
          <w:color w:val="auto"/>
          <w:sz w:val="31"/>
          <w:szCs w:val="31"/>
          <w:lang w:val="en-US" w:eastAsia="zh-CN"/>
        </w:rPr>
        <w:t>招商引资累计完成投资</w:t>
      </w:r>
      <w:r>
        <w:rPr>
          <w:rFonts w:hint="eastAsia" w:ascii="Times New Roman" w:hAnsi="Times New Roman" w:eastAsia="方正仿宋_GBK" w:cs="Times New Roman"/>
          <w:color w:val="auto"/>
          <w:sz w:val="31"/>
          <w:szCs w:val="31"/>
          <w:lang w:val="en-US" w:eastAsia="zh-CN"/>
        </w:rPr>
        <w:t>282.77</w:t>
      </w:r>
      <w:r>
        <w:rPr>
          <w:rFonts w:hint="default" w:ascii="Times New Roman" w:hAnsi="Times New Roman" w:eastAsia="方正仿宋_GBK" w:cs="Times New Roman"/>
          <w:color w:val="auto"/>
          <w:sz w:val="31"/>
          <w:szCs w:val="31"/>
          <w:lang w:val="en-US" w:eastAsia="zh-CN"/>
        </w:rPr>
        <w:t>亿元</w:t>
      </w:r>
      <w:r>
        <w:rPr>
          <w:rFonts w:hint="eastAsia" w:ascii="Times New Roman" w:hAnsi="Times New Roman" w:eastAsia="方正仿宋_GBK" w:cs="Times New Roman"/>
          <w:color w:val="auto"/>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b/>
          <w:bCs/>
          <w:sz w:val="31"/>
          <w:szCs w:val="31"/>
          <w:lang w:val="en-US" w:eastAsia="zh-CN"/>
        </w:rPr>
        <w:t>——</w:t>
      </w:r>
      <w:r>
        <w:rPr>
          <w:rFonts w:hint="default" w:ascii="Times New Roman" w:hAnsi="Times New Roman" w:eastAsia="方正仿宋_GBK" w:cs="Times New Roman"/>
          <w:b/>
          <w:bCs/>
          <w:sz w:val="31"/>
          <w:szCs w:val="31"/>
          <w:lang w:val="en-US" w:eastAsia="zh-CN"/>
        </w:rPr>
        <w:t>立足优势，夯实招商引资基础。</w:t>
      </w:r>
      <w:r>
        <w:rPr>
          <w:rFonts w:hint="default" w:ascii="Times New Roman" w:hAnsi="Times New Roman" w:eastAsia="方正仿宋_GBK" w:cs="Times New Roman"/>
          <w:sz w:val="31"/>
          <w:szCs w:val="31"/>
          <w:lang w:val="en-US" w:eastAsia="zh-CN"/>
        </w:rPr>
        <w:t>全力抓好自治县招商引资项目库建设，打造项目超市。对招商引资项目认真研究和筛选，禁止“三高”项目</w:t>
      </w:r>
      <w:r>
        <w:rPr>
          <w:rFonts w:hint="eastAsia" w:ascii="Times New Roman" w:hAnsi="Times New Roman" w:eastAsia="方正仿宋_GBK" w:cs="Times New Roman"/>
          <w:sz w:val="31"/>
          <w:szCs w:val="31"/>
          <w:lang w:val="en-US" w:eastAsia="zh-CN"/>
        </w:rPr>
        <w:t>入焉耆</w:t>
      </w:r>
      <w:r>
        <w:rPr>
          <w:rFonts w:hint="default" w:ascii="Times New Roman" w:hAnsi="Times New Roman" w:eastAsia="方正仿宋_GBK" w:cs="Times New Roman"/>
          <w:sz w:val="31"/>
          <w:szCs w:val="31"/>
          <w:lang w:val="en-US" w:eastAsia="zh-CN"/>
        </w:rPr>
        <w:t>。紧盯东部产业转移趋向，推动由单纯依靠资源型、政策型招商向产业配套型、公共服务型招商转变，提升招商引资项目的实效性，选定一批市场运作的招商引资项目，广泛对外宣传推介，发挥投资导向作用。</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b/>
          <w:bCs/>
          <w:sz w:val="31"/>
          <w:szCs w:val="31"/>
          <w:lang w:val="en-US" w:eastAsia="zh-CN"/>
        </w:rPr>
        <w:t>——</w:t>
      </w:r>
      <w:r>
        <w:rPr>
          <w:rFonts w:hint="default" w:ascii="Times New Roman" w:hAnsi="Times New Roman" w:eastAsia="方正仿宋_GBK" w:cs="Times New Roman"/>
          <w:b/>
          <w:bCs/>
          <w:sz w:val="31"/>
          <w:szCs w:val="31"/>
          <w:lang w:val="en-US" w:eastAsia="zh-CN"/>
        </w:rPr>
        <w:t>借力发力，推进产业互联互动互通。</w:t>
      </w:r>
      <w:r>
        <w:rPr>
          <w:rFonts w:hint="default" w:ascii="Times New Roman" w:hAnsi="Times New Roman" w:eastAsia="方正仿宋_GBK" w:cs="Times New Roman"/>
          <w:sz w:val="31"/>
          <w:szCs w:val="31"/>
          <w:lang w:val="en-US" w:eastAsia="zh-CN"/>
        </w:rPr>
        <w:t>借助河北省“1+11”产业合作交流，充分利用河北援疆良好招商资源，加强农副产品深加工、装备制造、旅游、生物医药、成衣制造等产业项目对接合作。继续发挥好赴廊坊市重点企业考察招商进行上门招商策略，拓展两地经济协作的切入点，在互联互动互通中推进两地优势互补，强化双方的产业合作和交流。</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b/>
          <w:bCs/>
          <w:sz w:val="31"/>
          <w:szCs w:val="31"/>
          <w:lang w:val="en-US" w:eastAsia="zh-CN"/>
        </w:rPr>
        <w:t>——</w:t>
      </w:r>
      <w:r>
        <w:rPr>
          <w:rFonts w:hint="default" w:ascii="Times New Roman" w:hAnsi="Times New Roman" w:eastAsia="方正仿宋_GBK" w:cs="Times New Roman"/>
          <w:b/>
          <w:bCs/>
          <w:sz w:val="31"/>
          <w:szCs w:val="31"/>
          <w:lang w:val="en-US" w:eastAsia="zh-CN"/>
        </w:rPr>
        <w:t>注重实效，加大长三角、珠三角区块招商引资力度。</w:t>
      </w:r>
      <w:r>
        <w:rPr>
          <w:rFonts w:hint="default" w:ascii="Times New Roman" w:hAnsi="Times New Roman" w:eastAsia="方正仿宋_GBK" w:cs="Times New Roman"/>
          <w:sz w:val="31"/>
          <w:szCs w:val="31"/>
          <w:lang w:val="en-US" w:eastAsia="zh-CN"/>
        </w:rPr>
        <w:t>围绕焉耆县重点产业链发展，营造招商平台，举行招商推介会，瞄准靶向企业，广泛收集信息，推进项目对接。一是主动协调筹备，利用工商联和商会的号召力，赴长三角、珠三角区块举行企业家座谈会和上门招商，扩大招商层面；二是通过援疆前指，加强与当地关联企业的对接，推动项目合作。三是选择产业集中地区的媒体扩大宣传，推介自治县投资环境和招商项目，吸引当地企业来焉开展投资合作。</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b/>
          <w:bCs/>
          <w:sz w:val="31"/>
          <w:szCs w:val="31"/>
          <w:lang w:val="en-US" w:eastAsia="zh-CN"/>
        </w:rPr>
        <w:t>——</w:t>
      </w:r>
      <w:r>
        <w:rPr>
          <w:rFonts w:hint="default" w:ascii="Times New Roman" w:hAnsi="Times New Roman" w:eastAsia="方正仿宋_GBK" w:cs="Times New Roman"/>
          <w:b/>
          <w:bCs/>
          <w:sz w:val="31"/>
          <w:szCs w:val="31"/>
          <w:lang w:val="en-US" w:eastAsia="zh-CN"/>
        </w:rPr>
        <w:t>创新途径，拓宽招商引资领域。抓好“会展招商”。</w:t>
      </w:r>
      <w:r>
        <w:rPr>
          <w:rFonts w:hint="default" w:ascii="Times New Roman" w:hAnsi="Times New Roman" w:eastAsia="方正仿宋_GBK" w:cs="Times New Roman"/>
          <w:sz w:val="31"/>
          <w:szCs w:val="31"/>
          <w:lang w:val="en-US" w:eastAsia="zh-CN"/>
        </w:rPr>
        <w:t>充分利用“西洽会”、“亚博会”、“西博会”、“浙洽会”、“厦投会”“进博会”等重点会展平台，举行企业家座谈会，广泛结交客商，捕捉投资信息，寻找和洽谈一批项目，并加强跟踪联系，力争签订一批项目。</w:t>
      </w:r>
      <w:r>
        <w:rPr>
          <w:rFonts w:hint="default" w:ascii="Times New Roman" w:hAnsi="Times New Roman" w:eastAsia="方正仿宋_GBK" w:cs="Times New Roman"/>
          <w:b/>
          <w:bCs/>
          <w:sz w:val="31"/>
          <w:szCs w:val="31"/>
          <w:lang w:val="en-US" w:eastAsia="zh-CN"/>
        </w:rPr>
        <w:t>推动“以商招商”。</w:t>
      </w:r>
      <w:r>
        <w:rPr>
          <w:rFonts w:hint="default" w:ascii="Times New Roman" w:hAnsi="Times New Roman" w:eastAsia="方正仿宋_GBK" w:cs="Times New Roman"/>
          <w:sz w:val="31"/>
          <w:szCs w:val="31"/>
          <w:lang w:val="en-US" w:eastAsia="zh-CN"/>
        </w:rPr>
        <w:t>通过工商联加强与驻疆、驻州异地商会及全国各行业协会的交流与合作，进一步发挥好商会及行业协会窗口和平台作用，利用其桥梁纽带和人脉资源广泛的优势开展招商。发挥焉耆招商引资顾问和落户企业作用以商招商，促进与内地的交流合作，引导内地企业来焉投资。</w:t>
      </w:r>
      <w:r>
        <w:rPr>
          <w:rFonts w:hint="default" w:ascii="Times New Roman" w:hAnsi="Times New Roman" w:eastAsia="方正仿宋_GBK" w:cs="Times New Roman"/>
          <w:b/>
          <w:bCs/>
          <w:sz w:val="31"/>
          <w:szCs w:val="31"/>
          <w:lang w:val="en-US" w:eastAsia="zh-CN"/>
        </w:rPr>
        <w:t>开展主题招商。</w:t>
      </w:r>
      <w:r>
        <w:rPr>
          <w:rFonts w:hint="default" w:ascii="Times New Roman" w:hAnsi="Times New Roman" w:eastAsia="方正仿宋_GBK" w:cs="Times New Roman"/>
          <w:sz w:val="31"/>
          <w:szCs w:val="31"/>
          <w:lang w:val="en-US" w:eastAsia="zh-CN"/>
        </w:rPr>
        <w:t>紧盯产业链布局，围绕农副产品加工、生物制药、装备制造、环保建材等产业，以集聚上下游产品、降低综合配套成本、拉长产业链条为主要内容的产业链招商方式，赴国内产业聚集地开展产业主题招商和项目对接。</w:t>
      </w:r>
      <w:r>
        <w:rPr>
          <w:rFonts w:hint="default" w:ascii="Times New Roman" w:hAnsi="Times New Roman" w:eastAsia="方正仿宋_GBK" w:cs="Times New Roman"/>
          <w:b/>
          <w:bCs/>
          <w:sz w:val="31"/>
          <w:szCs w:val="31"/>
          <w:lang w:val="en-US" w:eastAsia="zh-CN"/>
        </w:rPr>
        <w:t>“互联网+招商”</w:t>
      </w:r>
      <w:r>
        <w:rPr>
          <w:rFonts w:hint="eastAsia" w:ascii="Times New Roman" w:hAnsi="Times New Roman" w:eastAsia="方正仿宋_GBK" w:cs="Times New Roman"/>
          <w:b/>
          <w:bCs/>
          <w:sz w:val="31"/>
          <w:szCs w:val="31"/>
          <w:lang w:val="en-US" w:eastAsia="zh-CN"/>
        </w:rPr>
        <w:t>。</w:t>
      </w:r>
      <w:r>
        <w:rPr>
          <w:rFonts w:hint="default" w:ascii="Times New Roman" w:hAnsi="Times New Roman" w:eastAsia="方正仿宋_GBK" w:cs="Times New Roman"/>
          <w:sz w:val="31"/>
          <w:szCs w:val="31"/>
          <w:lang w:val="en-US" w:eastAsia="zh-CN"/>
        </w:rPr>
        <w:t>通过网站、微信等各类外宣平台，大力宣传“一带一路”产业发展机遇，扩大招商成果。五是委托内地商业招商机构开展有偿代理招商，实现项目精准对接洽谈。</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b/>
          <w:bCs/>
          <w:sz w:val="31"/>
          <w:szCs w:val="31"/>
          <w:lang w:val="en-US" w:eastAsia="zh-CN"/>
        </w:rPr>
        <w:t>——</w:t>
      </w:r>
      <w:r>
        <w:rPr>
          <w:rFonts w:hint="default" w:ascii="Times New Roman" w:hAnsi="Times New Roman" w:eastAsia="方正仿宋_GBK" w:cs="Times New Roman"/>
          <w:b/>
          <w:bCs/>
          <w:sz w:val="31"/>
          <w:szCs w:val="31"/>
          <w:lang w:val="en-US" w:eastAsia="zh-CN"/>
        </w:rPr>
        <w:t>优化投资环境，为企业项目高效服务。</w:t>
      </w:r>
      <w:r>
        <w:rPr>
          <w:rFonts w:hint="default" w:ascii="Times New Roman" w:hAnsi="Times New Roman" w:eastAsia="方正仿宋_GBK" w:cs="Times New Roman"/>
          <w:sz w:val="31"/>
          <w:szCs w:val="31"/>
          <w:lang w:val="en-US" w:eastAsia="zh-CN"/>
        </w:rPr>
        <w:t>进一步改进作风，强化服务意识，落实服务承诺，加大项目协调服务力度，切实提高项目履约率和资金到位率。一是抓好项目跟进。建立并完善项目推进机制，召开“项目推进调度会”和“重点项目联席会”，定期调研重点项目，强化项目服务，通过意向项目抓签约，签约项目抓落地，落地项目抓开工，开工项目抓投产，层层推进项目落地转化。扎实开展重点跟踪项目“回头看”。全面梳理近年来各地重点洽谈和签约的“沉寂”项目，坚持问题导向，分析摸排原因，制定帮促方案，坚持跟踪对接，认真协调落实企业存在的问题和困难，鼓励企业坚定信心，履行投资计划。做好招商引资统计分析，建立项目台账，提供动态运行分析，为领导决策提供信息参考，同时发挥对项目运行、进展的督导作用。</w:t>
      </w:r>
    </w:p>
    <w:p>
      <w:pPr>
        <w:pStyle w:val="2"/>
        <w:rPr>
          <w:rFonts w:hint="default"/>
          <w:lang w:val="en-US" w:eastAsia="zh-CN"/>
        </w:rPr>
      </w:pPr>
    </w:p>
    <w:p>
      <w:pPr>
        <w:rPr>
          <w:rFonts w:hint="default"/>
          <w:lang w:val="en-US" w:eastAsia="zh-CN"/>
        </w:rPr>
      </w:pPr>
    </w:p>
    <w:tbl>
      <w:tblPr>
        <w:tblStyle w:val="15"/>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0"/>
        <w:gridCol w:w="6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660" w:type="dxa"/>
            <w:gridSpan w:val="2"/>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kinsoku/>
              <w:wordWrap/>
              <w:overflowPunct/>
              <w:topLinePunct w:val="0"/>
              <w:autoSpaceDE/>
              <w:autoSpaceDN/>
              <w:bidi w:val="0"/>
              <w:adjustRightInd w:val="0"/>
              <w:snapToGrid/>
              <w:spacing w:after="0" w:line="300" w:lineRule="exact"/>
              <w:ind w:left="0" w:leftChars="0" w:right="0" w:rightChars="0" w:firstLine="0" w:firstLineChars="0"/>
              <w:textAlignment w:val="auto"/>
              <w:outlineLvl w:val="9"/>
              <w:rPr>
                <w:rFonts w:hint="eastAsia" w:ascii="Times New Roman" w:hAnsi="Times New Roman" w:cs="Times New Roman" w:eastAsiaTheme="minorEastAsia"/>
                <w:sz w:val="24"/>
                <w:szCs w:val="24"/>
                <w:lang w:eastAsia="zh-CN"/>
              </w:rPr>
            </w:pPr>
            <w:r>
              <w:rPr>
                <w:rFonts w:hint="eastAsia" w:ascii="方正黑体_GBK" w:hAnsi="方正黑体_GBK" w:eastAsia="方正黑体_GBK" w:cs="方正黑体_GBK"/>
                <w:lang w:eastAsia="zh-CN"/>
              </w:rPr>
              <w:t>专栏：项目支撑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20"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val="0"/>
              <w:kinsoku/>
              <w:wordWrap/>
              <w:overflowPunct/>
              <w:topLinePunct w:val="0"/>
              <w:autoSpaceDE/>
              <w:autoSpaceDN/>
              <w:bidi w:val="0"/>
              <w:snapToGrid/>
              <w:spacing w:after="0" w:line="300" w:lineRule="exact"/>
              <w:ind w:left="0" w:leftChars="0" w:right="0" w:rightChars="0" w:firstLine="0" w:firstLineChars="0"/>
              <w:jc w:val="left"/>
              <w:textAlignment w:val="auto"/>
              <w:outlineLvl w:val="9"/>
              <w:rPr>
                <w:rFonts w:hint="default" w:ascii="Times New Roman" w:hAnsi="Times New Roman" w:cs="Times New Roman" w:eastAsiaTheme="minorEastAsia"/>
                <w:kern w:val="2"/>
                <w:sz w:val="20"/>
                <w:szCs w:val="20"/>
                <w:lang w:val="en-US" w:eastAsia="zh-CN" w:bidi="ar-SA"/>
              </w:rPr>
            </w:pPr>
            <w:r>
              <w:rPr>
                <w:rFonts w:hint="eastAsia" w:ascii="Times New Roman" w:hAnsi="Times New Roman" w:cs="Times New Roman"/>
                <w:sz w:val="20"/>
                <w:szCs w:val="20"/>
                <w:lang w:eastAsia="zh-CN"/>
              </w:rPr>
              <w:t>焉耆县</w:t>
            </w:r>
            <w:r>
              <w:rPr>
                <w:rFonts w:hint="default" w:ascii="Times New Roman" w:hAnsi="Times New Roman" w:cs="Times New Roman"/>
                <w:sz w:val="20"/>
                <w:szCs w:val="20"/>
              </w:rPr>
              <w:t>高端节能特种新材料项目</w:t>
            </w:r>
          </w:p>
        </w:tc>
        <w:tc>
          <w:tcPr>
            <w:tcW w:w="6240" w:type="dxa"/>
            <w:tcBorders>
              <w:top w:val="thinThickSmallGap" w:color="auto" w:sz="24" w:space="0"/>
              <w:left w:val="thinThickSmallGap" w:color="auto" w:sz="24" w:space="0"/>
              <w:bottom w:val="thinThickSmallGap" w:color="auto" w:sz="24" w:space="0"/>
              <w:right w:val="thinThickSmallGap" w:color="auto" w:sz="24" w:space="0"/>
            </w:tcBorders>
            <w:vAlign w:val="top"/>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Times New Roman" w:hAnsi="Times New Roman" w:cs="Times New Roman" w:eastAsiaTheme="minorEastAsia"/>
                <w:kern w:val="2"/>
                <w:sz w:val="20"/>
                <w:szCs w:val="20"/>
                <w:lang w:val="en-US" w:eastAsia="zh-CN" w:bidi="ar-SA"/>
              </w:rPr>
            </w:pPr>
            <w:r>
              <w:rPr>
                <w:rFonts w:hint="eastAsia" w:ascii="Times New Roman" w:hAnsi="Times New Roman" w:cs="Times New Roman"/>
                <w:sz w:val="20"/>
                <w:szCs w:val="20"/>
                <w:lang w:eastAsia="zh-CN"/>
              </w:rPr>
              <w:t>项目</w:t>
            </w:r>
            <w:r>
              <w:rPr>
                <w:rFonts w:hint="default" w:ascii="Times New Roman" w:hAnsi="Times New Roman" w:cs="Times New Roman"/>
                <w:sz w:val="20"/>
                <w:szCs w:val="20"/>
              </w:rPr>
              <w:t>用地面积100亩</w:t>
            </w:r>
            <w:r>
              <w:rPr>
                <w:rFonts w:hint="eastAsia" w:ascii="Times New Roman" w:hAnsi="Times New Roman" w:cs="Times New Roman"/>
                <w:sz w:val="20"/>
                <w:szCs w:val="20"/>
                <w:lang w:eastAsia="zh-CN"/>
              </w:rPr>
              <w:t>，</w:t>
            </w:r>
            <w:r>
              <w:rPr>
                <w:rFonts w:hint="default" w:ascii="Times New Roman" w:hAnsi="Times New Roman" w:cs="Times New Roman"/>
                <w:sz w:val="20"/>
                <w:szCs w:val="20"/>
              </w:rPr>
              <w:t>高端节能特种新材料项目</w:t>
            </w:r>
            <w:r>
              <w:rPr>
                <w:rFonts w:hint="default" w:ascii="Times New Roman" w:hAnsi="Times New Roman" w:cs="Times New Roman"/>
                <w:sz w:val="20"/>
                <w:szCs w:val="20"/>
                <w:lang w:val="en-US" w:eastAsia="zh-CN"/>
              </w:rPr>
              <w:t>是</w:t>
            </w:r>
            <w:r>
              <w:rPr>
                <w:rFonts w:hint="default" w:ascii="Times New Roman" w:hAnsi="Times New Roman" w:cs="Times New Roman"/>
                <w:sz w:val="20"/>
                <w:szCs w:val="20"/>
              </w:rPr>
              <w:t>集特种新材料研发、生产、销售为一体的高新技术，生产环节保证零污染零排放，产品种类多样，质量优越，绿色节能，应用广泛。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20"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val="0"/>
              <w:kinsoku/>
              <w:wordWrap/>
              <w:overflowPunct/>
              <w:topLinePunct w:val="0"/>
              <w:autoSpaceDE/>
              <w:autoSpaceDN/>
              <w:bidi w:val="0"/>
              <w:snapToGrid/>
              <w:spacing w:after="0" w:line="300" w:lineRule="exact"/>
              <w:ind w:left="0" w:leftChars="0" w:right="0" w:rightChars="0" w:firstLine="0" w:firstLineChars="0"/>
              <w:jc w:val="left"/>
              <w:textAlignment w:val="auto"/>
              <w:outlineLvl w:val="9"/>
              <w:rPr>
                <w:rFonts w:hint="default" w:ascii="Times New Roman" w:hAnsi="Times New Roman" w:cs="Times New Roman" w:eastAsiaTheme="minorEastAsia"/>
                <w:kern w:val="2"/>
                <w:sz w:val="20"/>
                <w:szCs w:val="20"/>
                <w:lang w:val="en-US" w:eastAsia="zh-CN" w:bidi="ar-SA"/>
              </w:rPr>
            </w:pPr>
            <w:r>
              <w:rPr>
                <w:rFonts w:hint="eastAsia" w:ascii="Times New Roman" w:hAnsi="Times New Roman" w:cs="Times New Roman"/>
                <w:sz w:val="20"/>
                <w:szCs w:val="20"/>
                <w:lang w:eastAsia="zh-CN"/>
              </w:rPr>
              <w:t>焉耆县</w:t>
            </w:r>
            <w:r>
              <w:rPr>
                <w:rFonts w:hint="default" w:ascii="Times New Roman" w:hAnsi="Times New Roman" w:cs="Times New Roman"/>
                <w:sz w:val="20"/>
                <w:szCs w:val="20"/>
              </w:rPr>
              <w:t>新型环保建材项目</w:t>
            </w:r>
          </w:p>
        </w:tc>
        <w:tc>
          <w:tcPr>
            <w:tcW w:w="6240" w:type="dxa"/>
            <w:tcBorders>
              <w:top w:val="thinThickSmallGap" w:color="auto" w:sz="24" w:space="0"/>
              <w:left w:val="thinThickSmallGap" w:color="auto" w:sz="24" w:space="0"/>
              <w:bottom w:val="thinThickSmallGap" w:color="auto" w:sz="24" w:space="0"/>
              <w:right w:val="thinThickSmallGap" w:color="auto" w:sz="24" w:space="0"/>
            </w:tcBorders>
            <w:vAlign w:val="top"/>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Times New Roman" w:hAnsi="Times New Roman" w:cs="Times New Roman" w:eastAsiaTheme="minorEastAsia"/>
                <w:kern w:val="2"/>
                <w:sz w:val="20"/>
                <w:szCs w:val="20"/>
                <w:lang w:val="en-US" w:eastAsia="zh-CN" w:bidi="ar-SA"/>
              </w:rPr>
            </w:pPr>
            <w:r>
              <w:rPr>
                <w:rFonts w:hint="eastAsia" w:ascii="Times New Roman" w:hAnsi="Times New Roman" w:cs="Times New Roman"/>
                <w:sz w:val="20"/>
                <w:szCs w:val="20"/>
                <w:lang w:eastAsia="zh-CN"/>
              </w:rPr>
              <w:t>项目</w:t>
            </w:r>
            <w:r>
              <w:rPr>
                <w:rFonts w:hint="default" w:ascii="Times New Roman" w:hAnsi="Times New Roman" w:cs="Times New Roman"/>
                <w:sz w:val="20"/>
                <w:szCs w:val="20"/>
              </w:rPr>
              <w:t>用地面积</w:t>
            </w:r>
            <w:r>
              <w:rPr>
                <w:rFonts w:hint="default" w:ascii="Times New Roman" w:hAnsi="Times New Roman" w:cs="Times New Roman"/>
                <w:sz w:val="20"/>
                <w:szCs w:val="20"/>
                <w:lang w:val="en-US" w:eastAsia="zh-CN"/>
              </w:rPr>
              <w:t>40</w:t>
            </w:r>
            <w:r>
              <w:rPr>
                <w:rFonts w:hint="default" w:ascii="Times New Roman" w:hAnsi="Times New Roman" w:cs="Times New Roman"/>
                <w:sz w:val="20"/>
                <w:szCs w:val="20"/>
              </w:rPr>
              <w:t>亩</w:t>
            </w:r>
            <w:r>
              <w:rPr>
                <w:rFonts w:hint="eastAsia" w:ascii="Times New Roman" w:hAnsi="Times New Roman" w:cs="Times New Roman"/>
                <w:sz w:val="20"/>
                <w:szCs w:val="20"/>
                <w:lang w:eastAsia="zh-CN"/>
              </w:rPr>
              <w:t>，</w:t>
            </w:r>
            <w:r>
              <w:rPr>
                <w:rFonts w:hint="default" w:ascii="Times New Roman" w:hAnsi="Times New Roman" w:cs="Times New Roman"/>
                <w:sz w:val="20"/>
                <w:szCs w:val="20"/>
              </w:rPr>
              <w:t>新型环保建材项目</w:t>
            </w:r>
            <w:r>
              <w:rPr>
                <w:rFonts w:hint="default" w:ascii="Times New Roman" w:hAnsi="Times New Roman" w:cs="Times New Roman"/>
                <w:sz w:val="20"/>
                <w:szCs w:val="20"/>
                <w:lang w:val="en-US" w:eastAsia="zh-CN"/>
              </w:rPr>
              <w:t>是</w:t>
            </w:r>
            <w:r>
              <w:rPr>
                <w:rFonts w:hint="default" w:ascii="Times New Roman" w:hAnsi="Times New Roman" w:cs="Times New Roman"/>
                <w:sz w:val="20"/>
                <w:szCs w:val="20"/>
              </w:rPr>
              <w:t>专业制造建筑新材料的国家高新技术</w:t>
            </w:r>
            <w:r>
              <w:rPr>
                <w:rFonts w:hint="default" w:ascii="Times New Roman" w:hAnsi="Times New Roman" w:cs="Times New Roman"/>
                <w:sz w:val="20"/>
                <w:szCs w:val="20"/>
                <w:lang w:val="en-US" w:eastAsia="zh-CN"/>
              </w:rPr>
              <w:t>项目</w:t>
            </w:r>
            <w:r>
              <w:rPr>
                <w:rFonts w:hint="default" w:ascii="Times New Roman" w:hAnsi="Times New Roman" w:cs="Times New Roman"/>
                <w:sz w:val="20"/>
                <w:szCs w:val="20"/>
              </w:rPr>
              <w:t>，凭借自主研发的核心技术，以及国际先进的全自动生产设备，创立自主品牌，产品畅销全国。</w:t>
            </w:r>
          </w:p>
        </w:tc>
      </w:tr>
    </w:tbl>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黑体_GBK" w:hAnsi="方正黑体_GBK" w:eastAsia="方正黑体_GBK" w:cs="方正黑体_GBK"/>
          <w:b w:val="0"/>
          <w:bCs w:val="0"/>
          <w:sz w:val="31"/>
          <w:szCs w:val="31"/>
          <w:lang w:val="en-US" w:eastAsia="zh-CN"/>
        </w:rPr>
      </w:pPr>
      <w:bookmarkStart w:id="143" w:name="_Toc22088"/>
      <w:bookmarkStart w:id="144" w:name="_Toc24736"/>
      <w:bookmarkStart w:id="145" w:name="_Toc23778"/>
      <w:bookmarkStart w:id="146" w:name="_Toc12022"/>
      <w:bookmarkStart w:id="147" w:name="_Toc5868"/>
      <w:bookmarkStart w:id="148" w:name="_Toc22082"/>
      <w:r>
        <w:rPr>
          <w:rFonts w:hint="default" w:ascii="方正黑体_GBK" w:hAnsi="方正黑体_GBK" w:eastAsia="方正黑体_GBK" w:cs="方正黑体_GBK"/>
          <w:b w:val="0"/>
          <w:bCs w:val="0"/>
          <w:sz w:val="31"/>
          <w:szCs w:val="31"/>
          <w:lang w:val="en-US" w:eastAsia="zh-CN"/>
        </w:rPr>
        <w:t>第五章  加快构筑焉耆特色现代产业体系，推动经济高质量发展</w:t>
      </w:r>
      <w:bookmarkEnd w:id="141"/>
      <w:bookmarkEnd w:id="142"/>
      <w:bookmarkEnd w:id="143"/>
      <w:bookmarkEnd w:id="144"/>
      <w:bookmarkEnd w:id="145"/>
      <w:bookmarkEnd w:id="146"/>
      <w:bookmarkEnd w:id="147"/>
      <w:bookmarkEnd w:id="148"/>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深挖焉耆特色优势，重点抓好富硒产业、林果业、农副产品深加工、全域旅游、馕产业、葡萄酒、商贸物流、医疗康养“</w:t>
      </w:r>
      <w:r>
        <w:rPr>
          <w:rFonts w:hint="eastAsia" w:ascii="Times New Roman" w:hAnsi="Times New Roman" w:eastAsia="方正仿宋_GBK" w:cs="Times New Roman"/>
          <w:sz w:val="31"/>
          <w:szCs w:val="31"/>
          <w:lang w:val="en-US" w:eastAsia="zh-CN"/>
        </w:rPr>
        <w:t>八</w:t>
      </w:r>
      <w:r>
        <w:rPr>
          <w:rFonts w:hint="default" w:ascii="Times New Roman" w:hAnsi="Times New Roman" w:eastAsia="方正仿宋_GBK" w:cs="Times New Roman"/>
          <w:sz w:val="31"/>
          <w:szCs w:val="31"/>
          <w:lang w:val="en-US" w:eastAsia="zh-CN"/>
        </w:rPr>
        <w:t>大产业”，大力发展工业经济，提升服务业水平，着力延链补链强链，构建特色优势明显、三产深度融合的现代产业体系。</w:t>
      </w:r>
    </w:p>
    <w:p>
      <w:pPr>
        <w:rPr>
          <w:rFonts w:hint="default"/>
          <w:lang w:val="en-US" w:eastAsia="zh-CN"/>
        </w:rPr>
      </w:pPr>
      <w:bookmarkStart w:id="149" w:name="_Toc8407"/>
      <w:bookmarkStart w:id="150" w:name="_Toc22638"/>
      <w:bookmarkStart w:id="151" w:name="_Toc22046"/>
      <w:bookmarkStart w:id="152" w:name="_Toc21835"/>
      <w:bookmarkStart w:id="153" w:name="_Toc17018"/>
      <w:bookmarkStart w:id="154" w:name="_Toc19048"/>
      <w:bookmarkStart w:id="155" w:name="_Toc17368"/>
      <w:bookmarkStart w:id="156" w:name="_Toc27317"/>
    </w:p>
    <w:bookmarkEnd w:id="149"/>
    <w:bookmarkEnd w:id="150"/>
    <w:bookmarkEnd w:id="151"/>
    <w:bookmarkEnd w:id="152"/>
    <w:bookmarkEnd w:id="153"/>
    <w:bookmarkEnd w:id="154"/>
    <w:bookmarkEnd w:id="155"/>
    <w:bookmarkEnd w:id="156"/>
    <w:p>
      <w:pPr>
        <w:pStyle w:val="7"/>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楷体_GBK" w:hAnsi="方正楷体_GBK" w:eastAsia="方正楷体_GBK" w:cs="方正楷体_GBK"/>
          <w:b w:val="0"/>
          <w:bCs/>
          <w:sz w:val="31"/>
          <w:szCs w:val="31"/>
          <w:lang w:val="en-US" w:eastAsia="zh-CN"/>
        </w:rPr>
      </w:pPr>
      <w:bookmarkStart w:id="157" w:name="_Toc12759"/>
      <w:bookmarkStart w:id="158" w:name="_Toc19168"/>
      <w:r>
        <w:rPr>
          <w:rFonts w:hint="default" w:ascii="方正楷体_GBK" w:hAnsi="方正楷体_GBK" w:eastAsia="方正楷体_GBK" w:cs="方正楷体_GBK"/>
          <w:b w:val="0"/>
          <w:bCs/>
          <w:sz w:val="31"/>
          <w:szCs w:val="31"/>
          <w:lang w:val="en-US" w:eastAsia="zh-CN"/>
        </w:rPr>
        <w:t>第一节  大力发展富硒产业</w:t>
      </w:r>
      <w:bookmarkEnd w:id="157"/>
      <w:bookmarkEnd w:id="158"/>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bookmarkStart w:id="159" w:name="_Toc23014"/>
      <w:bookmarkStart w:id="160" w:name="_Toc697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以富硒种养业为依托，以富硒加工业为支撑，以富硒高新技术转化为突破，将富硒农产品生产、食品加工、销售和旅游、康养有机结合，培育“西域硒都”区域品牌，打造原生态富硒产业集群，延伸富硒产品产业链，开拓富硒产品市场。到</w:t>
      </w:r>
      <w:r>
        <w:rPr>
          <w:rFonts w:hint="eastAsia" w:ascii="Times New Roman" w:hAnsi="Times New Roman" w:eastAsia="方正仿宋_GBK" w:cs="Times New Roman"/>
          <w:sz w:val="31"/>
          <w:szCs w:val="31"/>
          <w:lang w:val="en-US" w:eastAsia="zh-CN"/>
        </w:rPr>
        <w:t>“十四五”末</w:t>
      </w:r>
      <w:r>
        <w:rPr>
          <w:rFonts w:hint="default" w:ascii="Times New Roman" w:hAnsi="Times New Roman" w:eastAsia="方正仿宋_GBK" w:cs="Times New Roman"/>
          <w:sz w:val="31"/>
          <w:szCs w:val="31"/>
          <w:lang w:val="en-US" w:eastAsia="zh-CN"/>
        </w:rPr>
        <w:t>，</w:t>
      </w:r>
      <w:r>
        <w:rPr>
          <w:rFonts w:hint="eastAsia" w:ascii="Times New Roman" w:hAnsi="Times New Roman" w:eastAsia="方正仿宋_GBK" w:cs="Times New Roman"/>
          <w:sz w:val="31"/>
          <w:szCs w:val="31"/>
          <w:lang w:val="en-US" w:eastAsia="zh-CN"/>
        </w:rPr>
        <w:t>富硒产业发展基本成形，依托富硒土壤资源优势，以小麦、玉米、辣椒、番茄、孜然等为富硒主导产品，调整优化富硒农产品种植区域布局，鼓励支持企业实施富硒产品研发、生产及销售，逐步建立完善的富硒产业发展模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jc w:val="both"/>
        <w:textAlignment w:val="auto"/>
        <w:outlineLvl w:val="9"/>
        <w:rPr>
          <w:rFonts w:hint="default" w:ascii="Times New Roman" w:hAnsi="Times New Roman" w:eastAsia="方正仿宋_GBK" w:cs="Times New Roman"/>
          <w:sz w:val="31"/>
          <w:szCs w:val="31"/>
          <w:lang w:val="en-US" w:eastAsia="zh-CN"/>
        </w:rPr>
      </w:pPr>
      <w:bookmarkStart w:id="161" w:name="_Toc15123"/>
      <w:r>
        <w:rPr>
          <w:rFonts w:hint="eastAsia" w:ascii="Times New Roman" w:hAnsi="Times New Roman" w:eastAsia="方正仿宋_GBK" w:cs="Times New Roman"/>
          <w:b/>
          <w:bCs/>
          <w:sz w:val="31"/>
          <w:szCs w:val="31"/>
          <w:lang w:val="en-US" w:eastAsia="zh-CN"/>
        </w:rPr>
        <w:t>——建立完善富硒产业发展模式。</w:t>
      </w:r>
      <w:r>
        <w:rPr>
          <w:rFonts w:hint="default" w:ascii="Times New Roman" w:hAnsi="Times New Roman" w:eastAsia="方正仿宋_GBK" w:cs="Times New Roman"/>
          <w:sz w:val="31"/>
          <w:szCs w:val="31"/>
          <w:lang w:val="en-US" w:eastAsia="zh-CN"/>
        </w:rPr>
        <w:t>在确保粮食种植面积基本稳定的前提下，重点发展富硒小麦、富硒辣椒、富硒番茄、富硒葡萄、富硒肉蛋奶等富硒种养殖业。挖掘富硒玉米、富硒甜菜、富硒红枣、富硒小茴香、富硒果蔬、富硒特禽等特色产业潜力。建设一批富硒种养殖基地，逐步扩大富硒农产品产量，利用科技创新，不断开发新的富硒农产品，全面提升富硒产品附加值。依托焉耆盆地乃至全疆富硒农副产品优势资源，以园区为平台，以推进农业供给侧结构性改革为主线，以培育壮大龙头企业、发展富硒农副产品加工为重点，做大做强农副产品精深加工业，形成特色鲜明、规模大、专业化程度高、市场竞争力强的区域农副产品加工中心。加大品牌整合力度，建立焉耆县统一的富硒品牌形象，统一宣传口号，叫响“西域硒都”区域品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jc w:val="both"/>
        <w:textAlignment w:val="auto"/>
        <w:outlineLvl w:val="9"/>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b/>
          <w:bCs/>
          <w:sz w:val="31"/>
          <w:szCs w:val="31"/>
          <w:lang w:val="en-US" w:eastAsia="zh-CN"/>
        </w:rPr>
        <w:t>——</w:t>
      </w:r>
      <w:r>
        <w:rPr>
          <w:rFonts w:hint="default" w:ascii="Times New Roman" w:hAnsi="Times New Roman" w:eastAsia="方正仿宋_GBK" w:cs="Times New Roman"/>
          <w:b/>
          <w:bCs/>
          <w:sz w:val="31"/>
          <w:szCs w:val="31"/>
          <w:lang w:val="en-US" w:eastAsia="zh-CN"/>
        </w:rPr>
        <w:t>培优壮大富硒农副产品加工产业。</w:t>
      </w:r>
      <w:r>
        <w:rPr>
          <w:rFonts w:hint="default" w:ascii="Times New Roman" w:hAnsi="Times New Roman" w:eastAsia="方正仿宋_GBK" w:cs="Times New Roman"/>
          <w:sz w:val="31"/>
          <w:szCs w:val="31"/>
          <w:lang w:val="en-US" w:eastAsia="zh-CN"/>
        </w:rPr>
        <w:t>大力发展以以明有食品为主的富硒面粉加工产业</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以中粮屯河番茄、红帆生物、凯都河食品等为主的富硒工业番茄加工产业；以晨曦椒业为主的富硒色素辣椒加工产业；以乡都酒业、天塞酒庄等为主的富硒酿酒葡萄加工产业；以赛克热、永烨合作社等为主的牛羊肉加工业；以三宇乳业为主的乳制品加工业。出台相关优惠政策，支持和鼓励农产品加工企业与农民专业合作社和家庭农场开展联合体建设，建立紧密联结的富硒原料生产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jc w:val="both"/>
        <w:textAlignment w:val="auto"/>
        <w:outlineLvl w:val="9"/>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b/>
          <w:bCs/>
          <w:sz w:val="31"/>
          <w:szCs w:val="31"/>
          <w:lang w:val="en-US" w:eastAsia="zh-CN"/>
        </w:rPr>
        <w:t>——</w:t>
      </w:r>
      <w:r>
        <w:rPr>
          <w:rFonts w:hint="default" w:ascii="Times New Roman" w:hAnsi="Times New Roman" w:eastAsia="方正仿宋_GBK" w:cs="Times New Roman"/>
          <w:b/>
          <w:bCs/>
          <w:sz w:val="31"/>
          <w:szCs w:val="31"/>
          <w:lang w:val="en-US" w:eastAsia="zh-CN"/>
        </w:rPr>
        <w:t>加强科技创新和人才培养引进。</w:t>
      </w:r>
      <w:r>
        <w:rPr>
          <w:rFonts w:hint="default" w:ascii="Times New Roman" w:hAnsi="Times New Roman" w:eastAsia="方正仿宋_GBK" w:cs="Times New Roman"/>
          <w:sz w:val="31"/>
          <w:szCs w:val="31"/>
          <w:lang w:val="en-US" w:eastAsia="zh-CN"/>
        </w:rPr>
        <w:t>建立富硒资源应用研究中心，专业从事富硒产品检验检测，协助生产主体积极开展富硒产品认证，开展富硒基础研究；加快制定富硒产品相关标准，建立农副产品生产主体建立标准化生产体系和安全质量溯源体系；鼓励相关企业和机构从事富硒产品研发，不断开发富硒新产品和高端产品；搭建科技创新平台。鼓励龙头企业建立专门研发机构，引进相关技术人才，开展富硒农产品加工关键和共性技术研发。支持企业与休闲农业、旅游、文化等产业深度融合，开发相关产品；鼓励富硒农副产品加工企业大力发展直供直销、连锁经营、互联网+等新型流通业态和模式。实施品牌培育计划，加大品牌宣传力度，组织企业开展品牌产品宣传推荐等活动，支持企业申报著名及驰名商标、名牌产品，申请使用地理标志，开展认证和保护工作。</w:t>
      </w:r>
      <w:bookmarkStart w:id="162" w:name="_Toc21479"/>
      <w:bookmarkStart w:id="163" w:name="_Toc4925"/>
      <w:bookmarkStart w:id="164" w:name="_Toc6543"/>
      <w:bookmarkStart w:id="165" w:name="_Toc3479"/>
    </w:p>
    <w:p>
      <w:pPr>
        <w:rPr>
          <w:rFonts w:hint="default"/>
          <w:lang w:val="en-US" w:eastAsia="zh-CN"/>
        </w:rPr>
      </w:pPr>
    </w:p>
    <w:tbl>
      <w:tblPr>
        <w:tblStyle w:val="15"/>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4"/>
        <w:gridCol w:w="6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60" w:type="dxa"/>
            <w:gridSpan w:val="2"/>
            <w:tcBorders>
              <w:top w:val="thinThickSmallGap" w:color="auto" w:sz="24" w:space="0"/>
              <w:left w:val="thinThickSmallGap" w:color="auto" w:sz="24" w:space="0"/>
              <w:bottom w:val="thinThickSmallGap" w:color="auto" w:sz="24" w:space="0"/>
              <w:right w:val="thinThickSmallGap" w:color="auto" w:sz="24" w:space="0"/>
            </w:tcBorders>
          </w:tcPr>
          <w:p>
            <w:pPr>
              <w:adjustRightInd w:val="0"/>
              <w:spacing w:after="0" w:line="320" w:lineRule="exact"/>
              <w:rPr>
                <w:rFonts w:ascii="方正仿宋_GBK" w:hAnsi="方正仿宋_GBK" w:eastAsia="方正仿宋_GBK" w:cs="方正仿宋_GBK"/>
                <w:szCs w:val="21"/>
              </w:rPr>
            </w:pPr>
            <w:r>
              <w:rPr>
                <w:rFonts w:hint="eastAsia" w:ascii="方正黑体_GBK" w:hAnsi="方正黑体_GBK" w:eastAsia="方正黑体_GBK" w:cs="方正黑体_GBK"/>
                <w:sz w:val="24"/>
                <w:szCs w:val="24"/>
                <w:vertAlign w:val="baseline"/>
                <w:lang w:val="en-US" w:eastAsia="zh-CN"/>
              </w:rPr>
              <w:t>专栏：</w:t>
            </w:r>
            <w:r>
              <w:rPr>
                <w:rFonts w:hint="eastAsia" w:ascii="方正黑体_GBK" w:hAnsi="方正黑体_GBK" w:eastAsia="方正黑体_GBK" w:cs="方正黑体_GBK"/>
                <w:sz w:val="24"/>
                <w:szCs w:val="24"/>
                <w:vertAlign w:val="baseline"/>
                <w:lang w:val="en-US" w:eastAsia="en-US"/>
              </w:rPr>
              <w:t>项目支撑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napToGrid w:val="0"/>
              <w:spacing w:after="0"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焉耆县高标准农田建设项目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napToGrid w:val="0"/>
              <w:spacing w:after="0" w:line="32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建设高标准农田30万亩。主要实施高效节水、土地平整、田间道路、农田林网等配套设施建设。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napToGrid w:val="0"/>
              <w:spacing w:after="0" w:line="32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焉耆县富硒农产品标准化种植基地建设项目</w:t>
            </w:r>
          </w:p>
          <w:p>
            <w:pPr>
              <w:snapToGrid w:val="0"/>
              <w:spacing w:after="0" w:line="320" w:lineRule="exact"/>
              <w:ind w:firstLine="420" w:firstLineChars="200"/>
              <w:rPr>
                <w:rFonts w:hint="eastAsia" w:asciiTheme="minorEastAsia" w:hAnsiTheme="minorEastAsia" w:eastAsiaTheme="minorEastAsia" w:cstheme="minorEastAsia"/>
                <w:szCs w:val="21"/>
              </w:rPr>
            </w:pP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napToGrid w:val="0"/>
              <w:spacing w:after="0"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建设富硒小麦10万亩、富硒辣椒13万亩、富硒番茄5万亩标准化种植基地，实施高效节水、土地平整、田间道路、农田林网等基础设施建设，配套育苗大棚、水肥一体化、品种试验示范、全程机械化等设施设备。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napToGrid w:val="0"/>
              <w:spacing w:after="0"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富硒葡萄种植基地升级改造项目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tabs>
                <w:tab w:val="left" w:pos="609"/>
              </w:tabs>
              <w:snapToGrid w:val="0"/>
              <w:spacing w:after="0" w:line="320" w:lineRule="exac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实施5万亩富硒酿酒葡萄种植基地升级改造，新建300亩酿酒葡萄示范基地、300亩鲜食葡萄示范基地、100亩优良苗木种植示范基地。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napToGrid w:val="0"/>
              <w:spacing w:after="0"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富硒绿皮土葡萄庭院种植项目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napToGrid w:val="0"/>
              <w:spacing w:after="0" w:line="32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建设100个富硒绿皮土葡萄种植庭院，搭建葡萄架100座、购买葡萄苗1500颗。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napToGrid w:val="0"/>
              <w:spacing w:after="0"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富硒牛羊标准化养殖小区建设</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napToGrid w:val="0"/>
              <w:spacing w:after="0" w:line="32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主要建设圈舍、青贮窖、粪污处理及附属设施，配套相关仪器设备等。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napToGrid w:val="0"/>
              <w:spacing w:after="0"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百万富硒蛋鸡养殖基地建设</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napToGrid w:val="0"/>
              <w:spacing w:after="0" w:line="32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主要建设圈舍、饲料加工、粪污处理及附属设施，配套相关仪器设备等。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top"/>
          </w:tcPr>
          <w:p>
            <w:pPr>
              <w:pStyle w:val="8"/>
              <w:spacing w:beforeAutospacing="0" w:after="0" w:afterAutospacing="0" w:line="320" w:lineRule="exact"/>
              <w:ind w:left="0" w:leftChars="0" w:firstLine="0" w:firstLineChars="0"/>
              <w:outlineLvl w:val="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焉耆县富硒产品检验检测中心建设项目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top"/>
          </w:tcPr>
          <w:p>
            <w:pPr>
              <w:pStyle w:val="8"/>
              <w:spacing w:beforeAutospacing="0" w:after="0" w:afterAutospacing="0" w:line="320" w:lineRule="exact"/>
              <w:ind w:left="0" w:leftChars="0" w:firstLine="0" w:firstLineChars="0"/>
              <w:outlineLvl w:val="2"/>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建成富硒产品质量监督检验中心，满足焉耆盆地土壤、水质的钾、硒、锶、锌等有益元素和铬、镉、汞、铅等有害元素无机离子检测；新建检验中心，购置科研配套设施及设备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top"/>
          </w:tcPr>
          <w:p>
            <w:pPr>
              <w:pStyle w:val="8"/>
              <w:spacing w:beforeAutospacing="0" w:after="0" w:afterAutospacing="0" w:line="320" w:lineRule="exact"/>
              <w:ind w:left="0" w:leftChars="0" w:firstLine="0" w:firstLineChars="0"/>
              <w:outlineLvl w:val="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焉耆县富硒农产品安全质量溯源体系建设示范项目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top"/>
          </w:tcPr>
          <w:p>
            <w:pPr>
              <w:pStyle w:val="8"/>
              <w:spacing w:beforeAutospacing="0" w:after="0" w:afterAutospacing="0" w:line="320" w:lineRule="exact"/>
              <w:ind w:left="0" w:leftChars="0" w:firstLine="0" w:firstLineChars="0"/>
              <w:outlineLvl w:val="2"/>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实施移动互联与云计算技术的智能化富硒产品质量监管和产品身份信息大数据云平台建设，实现富硒农产品从田间到生产、加工、包装、销售环节的可追溯。</w:t>
            </w:r>
          </w:p>
        </w:tc>
      </w:tr>
    </w:tbl>
    <w:p>
      <w:pPr>
        <w:spacing w:line="600" w:lineRule="exact"/>
        <w:ind w:firstLine="620" w:firstLineChars="200"/>
        <w:rPr>
          <w:rFonts w:ascii="Times New Roman" w:hAnsi="Times New Roman" w:eastAsia="方正小标宋_GBK" w:cs="Times New Roman"/>
          <w:bCs/>
          <w:sz w:val="31"/>
          <w:szCs w:val="31"/>
        </w:rPr>
      </w:pPr>
    </w:p>
    <w:p>
      <w:pPr>
        <w:pStyle w:val="7"/>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楷体_GBK" w:hAnsi="方正楷体_GBK" w:eastAsia="方正楷体_GBK" w:cs="方正楷体_GBK"/>
          <w:b w:val="0"/>
          <w:bCs/>
          <w:sz w:val="31"/>
          <w:szCs w:val="31"/>
          <w:lang w:val="en-US" w:eastAsia="zh-CN"/>
        </w:rPr>
      </w:pPr>
      <w:bookmarkStart w:id="166" w:name="_Toc22703"/>
      <w:r>
        <w:rPr>
          <w:rFonts w:hint="default" w:ascii="方正楷体_GBK" w:hAnsi="方正楷体_GBK" w:eastAsia="方正楷体_GBK" w:cs="方正楷体_GBK"/>
          <w:b w:val="0"/>
          <w:bCs/>
          <w:sz w:val="31"/>
          <w:szCs w:val="31"/>
          <w:lang w:val="en-US" w:eastAsia="zh-CN"/>
        </w:rPr>
        <w:t>第二节  提升林果业优质水平</w:t>
      </w:r>
      <w:bookmarkEnd w:id="159"/>
      <w:bookmarkEnd w:id="160"/>
      <w:bookmarkEnd w:id="161"/>
      <w:bookmarkEnd w:id="162"/>
      <w:bookmarkEnd w:id="163"/>
      <w:bookmarkEnd w:id="164"/>
      <w:bookmarkEnd w:id="165"/>
      <w:bookmarkEnd w:id="16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default" w:ascii="Times New Roman" w:hAnsi="Times New Roman" w:eastAsia="方正仿宋_GBK" w:cs="Times New Roman"/>
          <w:sz w:val="31"/>
          <w:szCs w:val="31"/>
          <w:lang w:val="en-US" w:eastAsia="zh-CN"/>
        </w:rPr>
      </w:pPr>
      <w:bookmarkStart w:id="167" w:name="_Toc7761"/>
      <w:bookmarkStart w:id="168" w:name="_Toc2729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eastAsia"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积极发展特色林果业，综合考虑市场需求、短途运输、庭院承载力等因素，巩固提高和壮大葡萄产业园区，重点建设名、特、优、新经济果木林，突出发展林下经济，提升科技含量、经营水平和品牌创新效益，提高富民能力。</w:t>
      </w:r>
      <w:r>
        <w:rPr>
          <w:rFonts w:hint="eastAsia" w:ascii="Times New Roman" w:hAnsi="Times New Roman" w:eastAsia="方正仿宋_GBK" w:cs="Times New Roman"/>
          <w:sz w:val="31"/>
          <w:szCs w:val="31"/>
          <w:vertAlign w:val="baseline"/>
          <w:lang w:val="zh-CN" w:eastAsia="zh-CN"/>
        </w:rPr>
        <w:t>继续发展</w:t>
      </w:r>
      <w:r>
        <w:rPr>
          <w:rFonts w:hint="default" w:ascii="Times New Roman" w:hAnsi="Times New Roman" w:eastAsia="方正仿宋_GBK" w:cs="Times New Roman"/>
          <w:sz w:val="31"/>
          <w:szCs w:val="31"/>
          <w:lang w:val="en-US" w:eastAsia="zh-CN"/>
        </w:rPr>
        <w:t>五号渠乡、北大渠乡、永宁镇种植</w:t>
      </w:r>
      <w:r>
        <w:rPr>
          <w:rFonts w:hint="eastAsia" w:ascii="Times New Roman" w:hAnsi="Times New Roman" w:eastAsia="方正仿宋_GBK" w:cs="Times New Roman"/>
          <w:sz w:val="31"/>
          <w:szCs w:val="31"/>
          <w:lang w:val="en-US" w:eastAsia="zh-CN"/>
        </w:rPr>
        <w:t>毛（油）</w:t>
      </w:r>
      <w:r>
        <w:rPr>
          <w:rFonts w:hint="default" w:ascii="Times New Roman" w:hAnsi="Times New Roman" w:eastAsia="方正仿宋_GBK" w:cs="Times New Roman"/>
          <w:sz w:val="31"/>
          <w:szCs w:val="31"/>
          <w:lang w:val="en-US" w:eastAsia="zh-CN"/>
        </w:rPr>
        <w:t>桃，四十里城子镇</w:t>
      </w:r>
      <w:r>
        <w:rPr>
          <w:rFonts w:hint="eastAsia" w:ascii="Times New Roman" w:hAnsi="Times New Roman" w:eastAsia="方正仿宋_GBK" w:cs="Times New Roman"/>
          <w:sz w:val="31"/>
          <w:szCs w:val="31"/>
          <w:lang w:val="en-US" w:eastAsia="zh-CN"/>
        </w:rPr>
        <w:t>种植</w:t>
      </w:r>
      <w:r>
        <w:rPr>
          <w:rFonts w:hint="default" w:ascii="Times New Roman" w:hAnsi="Times New Roman" w:eastAsia="方正仿宋_GBK" w:cs="Times New Roman"/>
          <w:sz w:val="31"/>
          <w:szCs w:val="31"/>
          <w:lang w:val="en-US" w:eastAsia="zh-CN"/>
        </w:rPr>
        <w:t>青皮葡萄，焉耆镇团结村、查汗采开乡和良种场</w:t>
      </w:r>
      <w:r>
        <w:rPr>
          <w:rFonts w:hint="eastAsia" w:ascii="Times New Roman" w:hAnsi="Times New Roman" w:eastAsia="方正仿宋_GBK" w:cs="Times New Roman"/>
          <w:sz w:val="31"/>
          <w:szCs w:val="31"/>
          <w:lang w:val="en-US" w:eastAsia="zh-CN"/>
        </w:rPr>
        <w:t>种植“</w:t>
      </w:r>
      <w:r>
        <w:rPr>
          <w:rFonts w:hint="default" w:ascii="Times New Roman" w:hAnsi="Times New Roman" w:eastAsia="方正仿宋_GBK" w:cs="Times New Roman"/>
          <w:sz w:val="31"/>
          <w:szCs w:val="31"/>
          <w:lang w:val="en-US" w:eastAsia="zh-CN"/>
        </w:rPr>
        <w:t>美国红杏</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和</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吊死干</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，七个星镇、包尔海乡、王家庄牧场</w:t>
      </w:r>
      <w:r>
        <w:rPr>
          <w:rFonts w:hint="eastAsia" w:ascii="Times New Roman" w:hAnsi="Times New Roman" w:eastAsia="方正仿宋_GBK" w:cs="Times New Roman"/>
          <w:sz w:val="31"/>
          <w:szCs w:val="31"/>
          <w:lang w:val="en-US" w:eastAsia="zh-CN"/>
        </w:rPr>
        <w:t>种植</w:t>
      </w:r>
      <w:r>
        <w:rPr>
          <w:rFonts w:hint="default" w:ascii="Times New Roman" w:hAnsi="Times New Roman" w:eastAsia="方正仿宋_GBK" w:cs="Times New Roman"/>
          <w:sz w:val="31"/>
          <w:szCs w:val="31"/>
          <w:lang w:val="en-US" w:eastAsia="zh-CN"/>
        </w:rPr>
        <w:t>杏、西梅为主</w:t>
      </w:r>
      <w:r>
        <w:rPr>
          <w:rFonts w:hint="eastAsia" w:ascii="Times New Roman" w:hAnsi="Times New Roman" w:eastAsia="方正仿宋_GBK" w:cs="Times New Roman"/>
          <w:sz w:val="31"/>
          <w:szCs w:val="31"/>
          <w:lang w:val="en-US" w:eastAsia="zh-CN"/>
        </w:rPr>
        <w:t>的林果新业态</w:t>
      </w:r>
      <w:r>
        <w:rPr>
          <w:rFonts w:hint="default" w:ascii="Times New Roman" w:hAnsi="Times New Roman" w:eastAsia="方正仿宋_GBK" w:cs="Times New Roman"/>
          <w:sz w:val="31"/>
          <w:szCs w:val="31"/>
          <w:lang w:val="en-US" w:eastAsia="zh-CN"/>
        </w:rPr>
        <w:t>，形成</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一乡一特色</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林果业发展</w:t>
      </w:r>
      <w:r>
        <w:rPr>
          <w:rFonts w:hint="eastAsia" w:ascii="Times New Roman" w:hAnsi="Times New Roman" w:eastAsia="方正仿宋_GBK" w:cs="Times New Roman"/>
          <w:sz w:val="31"/>
          <w:szCs w:val="31"/>
          <w:lang w:val="en-US" w:eastAsia="zh-CN"/>
        </w:rPr>
        <w:t>新</w:t>
      </w:r>
      <w:r>
        <w:rPr>
          <w:rFonts w:hint="default" w:ascii="Times New Roman" w:hAnsi="Times New Roman" w:eastAsia="方正仿宋_GBK" w:cs="Times New Roman"/>
          <w:sz w:val="31"/>
          <w:szCs w:val="31"/>
          <w:lang w:val="en-US" w:eastAsia="zh-CN"/>
        </w:rPr>
        <w:t>格局</w:t>
      </w:r>
      <w:r>
        <w:rPr>
          <w:rFonts w:hint="eastAsia" w:ascii="Times New Roman" w:hAnsi="Times New Roman" w:eastAsia="方正仿宋_GBK" w:cs="Times New Roman"/>
          <w:sz w:val="31"/>
          <w:szCs w:val="31"/>
          <w:lang w:val="en-US" w:eastAsia="zh-CN"/>
        </w:rPr>
        <w:t>。畅通销售渠道，鼓励种植大户带领庭院经济示范户、果农组建合作社，确保时令水果成熟后最快速度进入库尔勒市及周边县、团场消费者餐桌，带领全县各族群众增收致富。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vertAlign w:val="baseline"/>
          <w:lang w:val="en-US" w:eastAsia="zh-CN"/>
        </w:rPr>
        <w:t>以建设完备的绿色生态屏障为目标，以重点项目和示范区域建设为依托，以科技创新为动力，继续加快造林进程，开展</w:t>
      </w:r>
      <w:r>
        <w:rPr>
          <w:rFonts w:hint="eastAsia" w:ascii="Times New Roman" w:hAnsi="Times New Roman" w:eastAsia="方正仿宋_GBK" w:cs="Times New Roman"/>
          <w:sz w:val="31"/>
          <w:szCs w:val="31"/>
          <w:vertAlign w:val="baseline"/>
          <w:lang w:val="en-US" w:eastAsia="zh-CN"/>
        </w:rPr>
        <w:t>残次</w:t>
      </w:r>
      <w:r>
        <w:rPr>
          <w:rFonts w:hint="default" w:ascii="Times New Roman" w:hAnsi="Times New Roman" w:eastAsia="方正仿宋_GBK" w:cs="Times New Roman"/>
          <w:sz w:val="31"/>
          <w:szCs w:val="31"/>
          <w:vertAlign w:val="baseline"/>
          <w:lang w:val="en-US" w:eastAsia="zh-CN"/>
        </w:rPr>
        <w:t>退化</w:t>
      </w:r>
      <w:r>
        <w:rPr>
          <w:rFonts w:hint="eastAsia" w:ascii="Times New Roman" w:hAnsi="Times New Roman" w:eastAsia="方正仿宋_GBK" w:cs="Times New Roman"/>
          <w:sz w:val="31"/>
          <w:szCs w:val="31"/>
          <w:vertAlign w:val="baseline"/>
          <w:lang w:val="en-US" w:eastAsia="zh-CN"/>
        </w:rPr>
        <w:t>林</w:t>
      </w:r>
      <w:r>
        <w:rPr>
          <w:rFonts w:hint="default" w:ascii="Times New Roman" w:hAnsi="Times New Roman" w:eastAsia="方正仿宋_GBK" w:cs="Times New Roman"/>
          <w:sz w:val="31"/>
          <w:szCs w:val="31"/>
          <w:vertAlign w:val="baseline"/>
          <w:lang w:val="en-US" w:eastAsia="zh-CN"/>
        </w:rPr>
        <w:t>的生态修复，加强中幼林抚育，提高防护林林网化水平，完善防护林体系</w:t>
      </w:r>
      <w:r>
        <w:rPr>
          <w:rFonts w:hint="eastAsia" w:ascii="Times New Roman" w:hAnsi="Times New Roman" w:eastAsia="方正仿宋_GBK" w:cs="Times New Roman"/>
          <w:sz w:val="31"/>
          <w:szCs w:val="31"/>
          <w:vertAlign w:val="baseline"/>
          <w:lang w:val="en-US" w:eastAsia="zh-CN"/>
        </w:rPr>
        <w:t>，</w:t>
      </w:r>
      <w:r>
        <w:rPr>
          <w:rFonts w:hint="default" w:ascii="Times New Roman" w:hAnsi="Times New Roman" w:eastAsia="方正仿宋_GBK" w:cs="Times New Roman"/>
          <w:sz w:val="31"/>
          <w:szCs w:val="31"/>
          <w:vertAlign w:val="baseline"/>
          <w:lang w:val="en-US" w:eastAsia="zh-CN"/>
        </w:rPr>
        <w:t>提升防护林综合功能，</w:t>
      </w:r>
      <w:r>
        <w:rPr>
          <w:rFonts w:hint="eastAsia" w:ascii="Times New Roman" w:hAnsi="Times New Roman" w:eastAsia="方正仿宋_GBK" w:cs="Times New Roman"/>
          <w:sz w:val="31"/>
          <w:szCs w:val="31"/>
          <w:vertAlign w:val="baseline"/>
          <w:lang w:val="en-US" w:eastAsia="zh-CN"/>
        </w:rPr>
        <w:t>营造道路防护林、新造防护林，</w:t>
      </w:r>
      <w:r>
        <w:rPr>
          <w:rFonts w:hint="default" w:ascii="Times New Roman" w:hAnsi="Times New Roman" w:eastAsia="方正仿宋_GBK" w:cs="Times New Roman"/>
          <w:sz w:val="31"/>
          <w:szCs w:val="31"/>
          <w:vertAlign w:val="baseline"/>
          <w:lang w:val="en-US" w:eastAsia="zh-CN"/>
        </w:rPr>
        <w:t>提高</w:t>
      </w:r>
      <w:r>
        <w:rPr>
          <w:rFonts w:hint="eastAsia" w:ascii="Times New Roman" w:hAnsi="Times New Roman" w:eastAsia="方正仿宋_GBK" w:cs="Times New Roman"/>
          <w:sz w:val="31"/>
          <w:szCs w:val="31"/>
          <w:vertAlign w:val="baseline"/>
          <w:lang w:val="en-US" w:eastAsia="zh-CN"/>
        </w:rPr>
        <w:t>全</w:t>
      </w:r>
      <w:r>
        <w:rPr>
          <w:rFonts w:hint="default" w:ascii="Times New Roman" w:hAnsi="Times New Roman" w:eastAsia="方正仿宋_GBK" w:cs="Times New Roman"/>
          <w:sz w:val="31"/>
          <w:szCs w:val="31"/>
          <w:vertAlign w:val="baseline"/>
          <w:lang w:val="en-US" w:eastAsia="zh-CN"/>
        </w:rPr>
        <w:t>县森林覆盖率0.6个百分点</w:t>
      </w:r>
      <w:r>
        <w:rPr>
          <w:rFonts w:hint="eastAsia" w:ascii="Times New Roman" w:hAnsi="Times New Roman" w:eastAsia="方正仿宋_GBK" w:cs="Times New Roman"/>
          <w:sz w:val="31"/>
          <w:szCs w:val="31"/>
          <w:vertAlign w:val="baseline"/>
          <w:lang w:val="en-US" w:eastAsia="zh-CN"/>
        </w:rPr>
        <w:t>，基本</w:t>
      </w:r>
      <w:r>
        <w:rPr>
          <w:rFonts w:hint="default" w:ascii="Times New Roman" w:hAnsi="Times New Roman" w:eastAsia="方正仿宋_GBK" w:cs="Times New Roman"/>
          <w:sz w:val="31"/>
          <w:szCs w:val="31"/>
          <w:vertAlign w:val="baseline"/>
          <w:lang w:val="zh-CN" w:eastAsia="zh-CN"/>
        </w:rPr>
        <w:t>建成以绿洲内部农田林网、绿洲外缘大型防风固沙林带、天然荒漠林和山区天然林为主体的立体绿色屏障。</w:t>
      </w:r>
      <w:r>
        <w:rPr>
          <w:rFonts w:hint="eastAsia" w:ascii="Times New Roman" w:hAnsi="Times New Roman" w:eastAsia="方正仿宋_GBK" w:cs="Times New Roman"/>
          <w:sz w:val="31"/>
          <w:szCs w:val="31"/>
          <w:lang w:val="en-US" w:eastAsia="zh-CN"/>
        </w:rPr>
        <w:t>持续</w:t>
      </w:r>
      <w:r>
        <w:rPr>
          <w:rFonts w:hint="default" w:ascii="Times New Roman" w:hAnsi="Times New Roman" w:eastAsia="方正仿宋_GBK" w:cs="Times New Roman"/>
          <w:sz w:val="31"/>
          <w:szCs w:val="31"/>
          <w:lang w:val="en-US" w:eastAsia="zh-CN"/>
        </w:rPr>
        <w:t>抓好林木抚育管护、特色林果业培育发展</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林木病虫害防治（光肩星天牛、苹果枝枯病等）3项重点工作。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vertAlign w:val="baseline"/>
          <w:lang w:val="zh-CN" w:eastAsia="zh-CN"/>
        </w:rPr>
        <w:t>“十四五”末，</w:t>
      </w:r>
      <w:r>
        <w:rPr>
          <w:rFonts w:hint="default" w:ascii="Times New Roman" w:hAnsi="Times New Roman" w:eastAsia="方正仿宋_GBK" w:cs="Times New Roman"/>
          <w:sz w:val="31"/>
          <w:szCs w:val="31"/>
          <w:lang w:val="en-US" w:eastAsia="zh-CN"/>
        </w:rPr>
        <w:t>生态效能提高50%，产值效益提高30%</w:t>
      </w:r>
      <w:r>
        <w:rPr>
          <w:rFonts w:hint="eastAsia" w:ascii="Times New Roman" w:hAnsi="Times New Roman" w:eastAsia="方正仿宋_GBK" w:cs="Times New Roman"/>
          <w:sz w:val="31"/>
          <w:szCs w:val="31"/>
          <w:lang w:val="en-US" w:eastAsia="zh-CN"/>
        </w:rPr>
        <w:t>以上</w:t>
      </w:r>
      <w:r>
        <w:rPr>
          <w:rFonts w:hint="default" w:ascii="Times New Roman" w:hAnsi="Times New Roman" w:eastAsia="方正仿宋_GBK" w:cs="Times New Roman"/>
          <w:sz w:val="31"/>
          <w:szCs w:val="31"/>
          <w:lang w:val="en-US" w:eastAsia="zh-CN"/>
        </w:rPr>
        <w:t>。</w:t>
      </w:r>
      <w:bookmarkStart w:id="169" w:name="_Toc31286"/>
      <w:r>
        <w:rPr>
          <w:rFonts w:hint="eastAsia" w:ascii="Times New Roman" w:hAnsi="Times New Roman" w:eastAsia="方正仿宋_GBK" w:cs="Times New Roman"/>
          <w:sz w:val="31"/>
          <w:szCs w:val="31"/>
          <w:lang w:val="en-US" w:eastAsia="zh-CN"/>
        </w:rPr>
        <w:t>完成东西戈壁葡萄基地低效林改造2.5万亩，</w:t>
      </w:r>
      <w:r>
        <w:rPr>
          <w:rFonts w:hint="default" w:ascii="Times New Roman" w:hAnsi="Times New Roman" w:eastAsia="方正仿宋_GBK" w:cs="Times New Roman"/>
          <w:sz w:val="31"/>
          <w:szCs w:val="31"/>
          <w:lang w:val="en-US" w:eastAsia="zh-CN"/>
        </w:rPr>
        <w:t>林果业种植面积</w:t>
      </w:r>
      <w:r>
        <w:rPr>
          <w:rFonts w:hint="eastAsia" w:ascii="Times New Roman" w:hAnsi="Times New Roman" w:eastAsia="方正仿宋_GBK" w:cs="Times New Roman"/>
          <w:color w:val="auto"/>
          <w:sz w:val="31"/>
          <w:szCs w:val="31"/>
          <w:lang w:val="en-US" w:eastAsia="zh-CN"/>
        </w:rPr>
        <w:t>4万</w:t>
      </w:r>
      <w:r>
        <w:rPr>
          <w:rFonts w:hint="default" w:ascii="Times New Roman" w:hAnsi="Times New Roman" w:eastAsia="方正仿宋_GBK" w:cs="Times New Roman"/>
          <w:color w:val="auto"/>
          <w:sz w:val="31"/>
          <w:szCs w:val="31"/>
          <w:lang w:val="en-US" w:eastAsia="zh-CN"/>
        </w:rPr>
        <w:t>亩（</w:t>
      </w:r>
      <w:r>
        <w:rPr>
          <w:rFonts w:hint="eastAsia" w:ascii="Times New Roman" w:hAnsi="Times New Roman" w:eastAsia="方正仿宋_GBK" w:cs="Times New Roman"/>
          <w:color w:val="auto"/>
          <w:sz w:val="31"/>
          <w:szCs w:val="31"/>
          <w:lang w:val="en-US" w:eastAsia="zh-CN"/>
        </w:rPr>
        <w:t>其中</w:t>
      </w:r>
      <w:r>
        <w:rPr>
          <w:rFonts w:hint="default" w:ascii="Times New Roman" w:hAnsi="Times New Roman" w:eastAsia="方正仿宋_GBK" w:cs="Times New Roman"/>
          <w:color w:val="auto"/>
          <w:sz w:val="31"/>
          <w:szCs w:val="31"/>
          <w:lang w:val="en-US" w:eastAsia="zh-CN"/>
        </w:rPr>
        <w:t>打造休闲观光采摘园</w:t>
      </w:r>
      <w:r>
        <w:rPr>
          <w:rFonts w:hint="eastAsia" w:ascii="Times New Roman" w:hAnsi="Times New Roman" w:eastAsia="方正仿宋_GBK" w:cs="Times New Roman"/>
          <w:color w:val="auto"/>
          <w:sz w:val="31"/>
          <w:szCs w:val="31"/>
          <w:lang w:val="en-US" w:eastAsia="zh-CN"/>
        </w:rPr>
        <w:t>15个</w:t>
      </w:r>
      <w:r>
        <w:rPr>
          <w:rFonts w:hint="default" w:ascii="Times New Roman" w:hAnsi="Times New Roman" w:eastAsia="方正仿宋_GBK" w:cs="Times New Roman"/>
          <w:color w:val="auto"/>
          <w:sz w:val="31"/>
          <w:szCs w:val="31"/>
          <w:lang w:val="en-US" w:eastAsia="zh-CN"/>
        </w:rPr>
        <w:t>），促进林果</w:t>
      </w:r>
      <w:r>
        <w:rPr>
          <w:rFonts w:hint="default" w:ascii="Times New Roman" w:hAnsi="Times New Roman" w:eastAsia="方正仿宋_GBK" w:cs="Times New Roman"/>
          <w:sz w:val="31"/>
          <w:szCs w:val="31"/>
          <w:lang w:val="en-US" w:eastAsia="zh-CN"/>
        </w:rPr>
        <w:t>业提质增效</w:t>
      </w:r>
      <w:r>
        <w:rPr>
          <w:rFonts w:hint="eastAsia" w:ascii="Times New Roman" w:hAnsi="Times New Roman" w:eastAsia="方正仿宋_GBK" w:cs="Times New Roman"/>
          <w:sz w:val="31"/>
          <w:szCs w:val="31"/>
          <w:lang w:val="en-US" w:eastAsia="zh-CN"/>
        </w:rPr>
        <w:t>。通过更新改造、</w:t>
      </w:r>
      <w:r>
        <w:rPr>
          <w:rFonts w:hint="default" w:ascii="Times New Roman" w:hAnsi="Times New Roman" w:eastAsia="方正仿宋_GBK" w:cs="Times New Roman"/>
          <w:sz w:val="31"/>
          <w:szCs w:val="31"/>
          <w:lang w:val="en-US" w:eastAsia="zh-CN"/>
        </w:rPr>
        <w:t>低效林改造，巩固提高</w:t>
      </w:r>
      <w:r>
        <w:rPr>
          <w:rFonts w:hint="eastAsia" w:ascii="Times New Roman" w:hAnsi="Times New Roman" w:eastAsia="方正仿宋_GBK" w:cs="Times New Roman"/>
          <w:sz w:val="31"/>
          <w:szCs w:val="31"/>
          <w:lang w:val="en-US" w:eastAsia="zh-CN"/>
        </w:rPr>
        <w:t>防护林生态效益及经济林经济效益</w:t>
      </w:r>
      <w:r>
        <w:rPr>
          <w:rFonts w:hint="default" w:ascii="Times New Roman" w:hAnsi="Times New Roman" w:eastAsia="方正仿宋_GBK" w:cs="Times New Roman"/>
          <w:sz w:val="31"/>
          <w:szCs w:val="31"/>
          <w:lang w:val="en-US" w:eastAsia="zh-CN"/>
        </w:rPr>
        <w:t>。通过综合生态系统管理和多产业融合式发展，构建现代生态林业和林果产业示范区</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促进焉耆县社会经济的可持续发展。</w:t>
      </w:r>
    </w:p>
    <w:p>
      <w:pPr>
        <w:bidi w:val="0"/>
        <w:rPr>
          <w:rFonts w:hint="default"/>
          <w:lang w:val="en-US" w:eastAsia="zh-CN"/>
        </w:rPr>
      </w:pPr>
      <w:bookmarkStart w:id="170" w:name="_Toc30433"/>
      <w:bookmarkStart w:id="171" w:name="_Toc1853"/>
      <w:bookmarkStart w:id="172" w:name="_Toc31847"/>
      <w:bookmarkStart w:id="173" w:name="_Toc28046"/>
      <w:bookmarkStart w:id="174" w:name="_Toc28028"/>
    </w:p>
    <w:p>
      <w:pPr>
        <w:pStyle w:val="7"/>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方正楷体_GBK" w:hAnsi="方正楷体_GBK" w:eastAsia="方正楷体_GBK" w:cs="方正楷体_GBK"/>
          <w:b w:val="0"/>
          <w:bCs/>
          <w:sz w:val="31"/>
          <w:szCs w:val="31"/>
          <w:lang w:val="en-US" w:eastAsia="zh-CN"/>
        </w:rPr>
      </w:pPr>
      <w:r>
        <w:rPr>
          <w:rFonts w:hint="default" w:ascii="方正楷体_GBK" w:hAnsi="方正楷体_GBK" w:eastAsia="方正楷体_GBK" w:cs="方正楷体_GBK"/>
          <w:b w:val="0"/>
          <w:bCs/>
          <w:sz w:val="31"/>
          <w:szCs w:val="31"/>
          <w:lang w:val="en-US" w:eastAsia="zh-CN"/>
        </w:rPr>
        <w:t>第三节  大力发展农副产品精深加工</w:t>
      </w:r>
      <w:bookmarkEnd w:id="167"/>
      <w:bookmarkEnd w:id="168"/>
      <w:bookmarkEnd w:id="169"/>
      <w:bookmarkEnd w:id="170"/>
      <w:bookmarkEnd w:id="171"/>
      <w:bookmarkEnd w:id="172"/>
      <w:bookmarkEnd w:id="173"/>
      <w:bookmarkEnd w:id="17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充分发挥焉耆县“三红”特色产业优势，不断推动农业产业化转型升级。坚持“因地制宜、分类指导、长短结合、市场导向、效益优先”原则，以稳定粮食生产为前提，以发展“三红”产业为主要内容，大力推进色素辣椒、工业番茄、酿酒葡萄种植基地建设。围绕“三红”产业资源链，大力支持引进一批精深加工重大项目，强化资源整合，着力培育龙头领军企业，确保一批龙头企业稳产达产，引导中小企业不断开发新产品、提高附加值，升级发展食品和农副产品加工产业，促进高端化发展</w:t>
      </w:r>
      <w:bookmarkStart w:id="175" w:name="_Toc21135"/>
      <w:bookmarkStart w:id="176" w:name="_Toc3650"/>
      <w:bookmarkStart w:id="177" w:name="_Toc24713"/>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“十四五”末，引进各类农副产品精深加工企业50家，产值150亿元，固定资产投资达15亿元。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jc w:val="both"/>
        <w:textAlignment w:val="auto"/>
        <w:outlineLvl w:val="9"/>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b/>
          <w:bCs/>
          <w:sz w:val="31"/>
          <w:szCs w:val="31"/>
          <w:lang w:val="en-US" w:eastAsia="zh-CN"/>
        </w:rPr>
        <w:t>——持续提升产业基础能力。</w:t>
      </w:r>
      <w:r>
        <w:rPr>
          <w:rFonts w:hint="default" w:ascii="Times New Roman" w:hAnsi="Times New Roman" w:eastAsia="方正仿宋_GBK" w:cs="Times New Roman"/>
          <w:sz w:val="31"/>
          <w:szCs w:val="31"/>
          <w:lang w:val="en-US" w:eastAsia="zh-CN"/>
        </w:rPr>
        <w:t>坚持突出主导产业，培育支柱，将农副产品精深加工作为主攻方向，把推进科技进步，提高项目科技含量作为提升产业建设质量和档次的重要动力，壮大现有晨光生物、中粮屯河、凯都河食品、红帆生物等项目达产，培育发展一批先进企业和名牌产品。继续加大引进农副产品精深加工企业，加快晨光生物二期、甲方食品二期建设，重点发展辣椒、番茄等农副产品精深加工，使之成为园区的产业支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jc w:val="both"/>
        <w:textAlignment w:val="auto"/>
        <w:outlineLvl w:val="9"/>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b/>
          <w:bCs/>
          <w:sz w:val="31"/>
          <w:szCs w:val="31"/>
          <w:lang w:val="en-US" w:eastAsia="zh-CN"/>
        </w:rPr>
        <w:t>——大力推动产业融合发展。</w:t>
      </w:r>
      <w:r>
        <w:rPr>
          <w:rFonts w:hint="default" w:ascii="Times New Roman" w:hAnsi="Times New Roman" w:eastAsia="方正仿宋_GBK" w:cs="Times New Roman"/>
          <w:sz w:val="31"/>
          <w:szCs w:val="31"/>
          <w:lang w:val="en-US" w:eastAsia="zh-CN"/>
        </w:rPr>
        <w:t>立足焉耆盆地28万亩番茄种植基地、26万亩辣椒种植基地、10万亩酿酒葡萄基地，12万亩绿色小麦基地，国家农业部特色经济专业委员会授予焉耆“中国小茴香之乡”“中国工业番茄之乡”“中国甘草之乡”“全国有机农业（酿酒葡萄）示范基地”称号以及焉耆县被确定为富硒产区，绿色富硒耕地占全县耕地79%，含富硒的农作物有70多种的优势，推动农副产品加工产业与农村其他产业深度融合发展，发展特色农副产品精深加工，尤其要加快富硒农产品的研发开发，做优做强农副产品精深加工龙头产业，推动产业发展。</w:t>
      </w:r>
    </w:p>
    <w:p>
      <w:pPr>
        <w:bidi w:val="0"/>
        <w:rPr>
          <w:rStyle w:val="16"/>
          <w:rFonts w:hint="default"/>
          <w:lang w:val="en-US" w:eastAsia="zh-CN"/>
        </w:rPr>
      </w:pPr>
    </w:p>
    <w:tbl>
      <w:tblPr>
        <w:tblStyle w:val="15"/>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4"/>
        <w:gridCol w:w="6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60" w:type="dxa"/>
            <w:gridSpan w:val="2"/>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kinsoku/>
              <w:wordWrap/>
              <w:overflowPunct/>
              <w:topLinePunct w:val="0"/>
              <w:autoSpaceDE/>
              <w:autoSpaceDN/>
              <w:bidi w:val="0"/>
              <w:adjustRightInd w:val="0"/>
              <w:snapToGrid/>
              <w:spacing w:after="0" w:line="300" w:lineRule="exact"/>
              <w:ind w:left="0" w:leftChars="0" w:right="0" w:rightChars="0" w:firstLine="0" w:firstLineChars="0"/>
              <w:jc w:val="both"/>
              <w:textAlignment w:val="auto"/>
              <w:rPr>
                <w:rFonts w:hint="eastAsia" w:ascii="Times New Roman" w:hAnsi="Times New Roman" w:cs="Times New Roman" w:eastAsiaTheme="minorEastAsia"/>
                <w:sz w:val="24"/>
                <w:szCs w:val="24"/>
                <w:lang w:eastAsia="zh-CN"/>
              </w:rPr>
            </w:pPr>
            <w:r>
              <w:rPr>
                <w:rFonts w:hint="eastAsia" w:ascii="方正黑体_GBK" w:hAnsi="方正黑体_GBK" w:eastAsia="方正黑体_GBK" w:cs="方正黑体_GBK"/>
                <w:sz w:val="24"/>
                <w:szCs w:val="24"/>
                <w:lang w:eastAsia="zh-CN"/>
              </w:rPr>
              <w:t>专栏：项目支撑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val="0"/>
              <w:kinsoku/>
              <w:wordWrap/>
              <w:overflowPunct/>
              <w:topLinePunct w:val="0"/>
              <w:autoSpaceDE/>
              <w:autoSpaceDN/>
              <w:bidi w:val="0"/>
              <w:adjustRightInd w:val="0"/>
              <w:snapToGrid/>
              <w:spacing w:after="0" w:line="300" w:lineRule="exact"/>
              <w:ind w:left="0" w:leftChars="0" w:right="0" w:rightChars="0" w:firstLine="0" w:firstLineChars="0"/>
              <w:jc w:val="both"/>
              <w:textAlignment w:val="auto"/>
              <w:outlineLvl w:val="9"/>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焉耆县农副产品园区冷链物流基础设施建设项目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top"/>
          </w:tcPr>
          <w:p>
            <w:pPr>
              <w:keepNext w:val="0"/>
              <w:keepLines w:val="0"/>
              <w:pageBreakBefore w:val="0"/>
              <w:widowControl w:val="0"/>
              <w:kinsoku/>
              <w:wordWrap/>
              <w:overflowPunct/>
              <w:topLinePunct w:val="0"/>
              <w:autoSpaceDE/>
              <w:autoSpaceDN/>
              <w:bidi w:val="0"/>
              <w:adjustRightInd w:val="0"/>
              <w:snapToGrid/>
              <w:spacing w:after="0" w:line="300" w:lineRule="exact"/>
              <w:ind w:left="0" w:leftChars="0" w:right="0" w:rightChars="0" w:firstLine="0" w:firstLineChars="0"/>
              <w:jc w:val="both"/>
              <w:textAlignment w:val="auto"/>
              <w:outlineLvl w:val="9"/>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改造面积32000平方米。增设农副特产生鲜冷藏仓储区1个、综合信息服务区1个、加工包装区、散货堆场1个、冷链物流运输车辆15辆、配套建设1个生鲜食品低温中心及冷链设备</w:t>
            </w:r>
            <w:r>
              <w:rPr>
                <w:rFonts w:hint="eastAsia" w:ascii="Times New Roman" w:hAnsi="Times New Roman" w:cs="Times New Roman"/>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val="0"/>
              <w:kinsoku/>
              <w:wordWrap/>
              <w:overflowPunct/>
              <w:topLinePunct w:val="0"/>
              <w:autoSpaceDE/>
              <w:autoSpaceDN/>
              <w:bidi w:val="0"/>
              <w:snapToGrid/>
              <w:spacing w:after="0" w:line="300" w:lineRule="exact"/>
              <w:ind w:left="0" w:leftChars="0" w:right="0" w:rightChars="0" w:firstLine="0" w:firstLineChars="0"/>
              <w:jc w:val="both"/>
              <w:textAlignment w:val="auto"/>
              <w:outlineLvl w:val="9"/>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焉耆县脱水、冻干果蔬加工项目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top"/>
          </w:tcPr>
          <w:p>
            <w:pPr>
              <w:keepNext w:val="0"/>
              <w:keepLines w:val="0"/>
              <w:pageBreakBefore w:val="0"/>
              <w:widowControl w:val="0"/>
              <w:kinsoku/>
              <w:wordWrap/>
              <w:overflowPunct/>
              <w:topLinePunct w:val="0"/>
              <w:autoSpaceDE/>
              <w:autoSpaceDN/>
              <w:bidi w:val="0"/>
              <w:snapToGrid/>
              <w:spacing w:after="0" w:line="300" w:lineRule="exact"/>
              <w:ind w:left="0" w:leftChars="0" w:right="0" w:rightChars="0" w:firstLine="0" w:firstLineChars="0"/>
              <w:jc w:val="both"/>
              <w:textAlignment w:val="auto"/>
              <w:outlineLvl w:val="9"/>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脱水、冻干蔬菜具有质量轻、复水快，“色、香、味”俱佳，食用方便，营养损失少等特点。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val="0"/>
              <w:kinsoku/>
              <w:wordWrap/>
              <w:overflowPunct/>
              <w:topLinePunct w:val="0"/>
              <w:autoSpaceDE/>
              <w:autoSpaceDN/>
              <w:bidi w:val="0"/>
              <w:snapToGrid/>
              <w:spacing w:after="0" w:line="300" w:lineRule="exact"/>
              <w:ind w:left="0" w:leftChars="0" w:right="0" w:rightChars="0" w:firstLine="0" w:firstLineChars="0"/>
              <w:jc w:val="both"/>
              <w:textAlignment w:val="auto"/>
              <w:outlineLvl w:val="9"/>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焉耆县麦麸膳食纤维粉加工项目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top"/>
          </w:tcPr>
          <w:p>
            <w:pPr>
              <w:keepNext w:val="0"/>
              <w:keepLines w:val="0"/>
              <w:pageBreakBefore w:val="0"/>
              <w:widowControl w:val="0"/>
              <w:kinsoku/>
              <w:wordWrap/>
              <w:overflowPunct/>
              <w:topLinePunct w:val="0"/>
              <w:autoSpaceDE/>
              <w:autoSpaceDN/>
              <w:bidi w:val="0"/>
              <w:snapToGrid/>
              <w:spacing w:after="0" w:line="300" w:lineRule="exact"/>
              <w:ind w:left="0" w:leftChars="0" w:right="0" w:rightChars="0" w:firstLine="0" w:firstLineChars="0"/>
              <w:jc w:val="both"/>
              <w:textAlignment w:val="auto"/>
              <w:outlineLvl w:val="9"/>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rPr>
              <w:t>项目原料为面粉加工的副产品小麦麸皮，数量充足、价格便宜</w:t>
            </w:r>
            <w:r>
              <w:rPr>
                <w:rFonts w:hint="eastAsia" w:ascii="Times New Roman" w:hAnsi="Times New Roman" w:cs="Times New Roman"/>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kinsoku/>
              <w:wordWrap/>
              <w:overflowPunct/>
              <w:topLinePunct w:val="0"/>
              <w:autoSpaceDE/>
              <w:autoSpaceDN/>
              <w:bidi w:val="0"/>
              <w:adjustRightInd w:val="0"/>
              <w:snapToGrid/>
              <w:spacing w:after="0" w:line="300" w:lineRule="exact"/>
              <w:ind w:left="0" w:leftChars="0" w:right="0" w:rightChars="0" w:firstLine="0" w:firstLineChars="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焉耆晨晓肥料建设项目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kinsoku/>
              <w:wordWrap/>
              <w:overflowPunct/>
              <w:topLinePunct w:val="0"/>
              <w:autoSpaceDE/>
              <w:autoSpaceDN/>
              <w:bidi w:val="0"/>
              <w:adjustRightInd w:val="0"/>
              <w:snapToGrid/>
              <w:spacing w:after="0" w:line="300" w:lineRule="exact"/>
              <w:ind w:left="0" w:leftChars="0" w:right="0" w:rightChars="0" w:firstLine="0" w:firstLineChars="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占地50亩。建设颗粒肥生产车间、液体肥生产车间、原料及包材库、成品库等</w:t>
            </w:r>
            <w:r>
              <w:rPr>
                <w:rFonts w:hint="default" w:ascii="Times New Roman" w:hAnsi="Times New Roman" w:cs="Times New Roman"/>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kinsoku/>
              <w:wordWrap/>
              <w:overflowPunct/>
              <w:topLinePunct w:val="0"/>
              <w:autoSpaceDE/>
              <w:autoSpaceDN/>
              <w:bidi w:val="0"/>
              <w:adjustRightInd w:val="0"/>
              <w:snapToGrid/>
              <w:spacing w:after="0" w:line="300" w:lineRule="exact"/>
              <w:ind w:left="0" w:leftChars="0" w:right="0" w:rightChars="0" w:firstLine="0" w:firstLineChars="0"/>
              <w:jc w:val="both"/>
              <w:textAlignment w:val="auto"/>
              <w:outlineLvl w:val="9"/>
              <w:rPr>
                <w:rFonts w:hint="default" w:ascii="Times New Roman" w:hAnsi="Times New Roman" w:cs="Times New Roman"/>
                <w:sz w:val="20"/>
                <w:szCs w:val="20"/>
              </w:rPr>
            </w:pPr>
            <w:r>
              <w:rPr>
                <w:rFonts w:hint="eastAsia" w:ascii="Times New Roman" w:hAnsi="Times New Roman" w:cs="Times New Roman"/>
                <w:sz w:val="20"/>
                <w:szCs w:val="20"/>
                <w:lang w:eastAsia="zh-CN"/>
              </w:rPr>
              <w:t>焉耆县</w:t>
            </w:r>
            <w:r>
              <w:rPr>
                <w:rFonts w:hint="default" w:ascii="Times New Roman" w:hAnsi="Times New Roman" w:cs="Times New Roman"/>
                <w:sz w:val="20"/>
                <w:szCs w:val="20"/>
              </w:rPr>
              <w:t>帝方食品有限公司番茄、辣椒深加工处理项目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kinsoku/>
              <w:wordWrap/>
              <w:overflowPunct/>
              <w:topLinePunct w:val="0"/>
              <w:autoSpaceDE/>
              <w:autoSpaceDN/>
              <w:bidi w:val="0"/>
              <w:adjustRightInd w:val="0"/>
              <w:snapToGrid/>
              <w:spacing w:after="0" w:line="300" w:lineRule="exact"/>
              <w:ind w:left="0" w:leftChars="0" w:right="0" w:rightChars="0" w:firstLine="0" w:firstLineChars="0"/>
              <w:jc w:val="both"/>
              <w:textAlignment w:val="auto"/>
              <w:outlineLvl w:val="9"/>
              <w:rPr>
                <w:rFonts w:hint="eastAsia" w:ascii="Times New Roman" w:hAnsi="Times New Roman" w:cs="Times New Roman" w:eastAsiaTheme="minorEastAsia"/>
                <w:sz w:val="20"/>
                <w:szCs w:val="20"/>
                <w:lang w:eastAsia="zh-CN"/>
              </w:rPr>
            </w:pPr>
            <w:r>
              <w:rPr>
                <w:rFonts w:hint="default" w:ascii="Times New Roman" w:hAnsi="Times New Roman" w:cs="Times New Roman"/>
                <w:sz w:val="20"/>
                <w:szCs w:val="20"/>
              </w:rPr>
              <w:t>建设分成一、二、三期，主要建设车间（生产线5条）、库房、锅炉房、办公区、污水处理、配套用房（修理、高低压配电、操作室）生产线5条，年产番茄12000吨，番茄红素2吨，番茄丁5000吨，番茄粉10吨，辣椒丝100万瓶，辣椒油100吨</w:t>
            </w:r>
            <w:r>
              <w:rPr>
                <w:rFonts w:hint="eastAsia" w:ascii="Times New Roman" w:hAnsi="Times New Roman" w:cs="Times New Roman"/>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kinsoku/>
              <w:wordWrap/>
              <w:overflowPunct/>
              <w:topLinePunct w:val="0"/>
              <w:autoSpaceDE/>
              <w:autoSpaceDN/>
              <w:bidi w:val="0"/>
              <w:adjustRightInd w:val="0"/>
              <w:snapToGrid/>
              <w:spacing w:after="0" w:line="300" w:lineRule="exact"/>
              <w:ind w:left="0" w:leftChars="0" w:right="0" w:rightChars="0" w:firstLine="0" w:firstLineChars="0"/>
              <w:jc w:val="both"/>
              <w:textAlignment w:val="auto"/>
              <w:outlineLvl w:val="9"/>
              <w:rPr>
                <w:rFonts w:hint="default" w:ascii="Times New Roman" w:hAnsi="Times New Roman" w:cs="Times New Roman"/>
                <w:sz w:val="20"/>
                <w:szCs w:val="20"/>
              </w:rPr>
            </w:pPr>
            <w:r>
              <w:rPr>
                <w:rFonts w:hint="eastAsia" w:ascii="Times New Roman" w:hAnsi="Times New Roman" w:cs="Times New Roman"/>
                <w:sz w:val="20"/>
                <w:szCs w:val="20"/>
                <w:lang w:eastAsia="zh-CN"/>
              </w:rPr>
              <w:t>焉耆县</w:t>
            </w:r>
            <w:r>
              <w:rPr>
                <w:rFonts w:hint="default" w:ascii="Times New Roman" w:hAnsi="Times New Roman" w:cs="Times New Roman"/>
                <w:sz w:val="20"/>
                <w:szCs w:val="20"/>
              </w:rPr>
              <w:t>盆地乳制品生产基地建设项目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kinsoku/>
              <w:wordWrap/>
              <w:overflowPunct/>
              <w:topLinePunct w:val="0"/>
              <w:autoSpaceDE/>
              <w:autoSpaceDN/>
              <w:bidi w:val="0"/>
              <w:adjustRightInd w:val="0"/>
              <w:snapToGrid/>
              <w:spacing w:after="0" w:line="300" w:lineRule="exact"/>
              <w:ind w:left="0" w:leftChars="0" w:right="0" w:rightChars="0" w:firstLine="0" w:firstLineChars="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以焉耆三宇实业有限公司为龙头，发挥产业带动辐射作用，建设奶牛培育、养殖，畜草种植、青储，奶牛防疫、产品产品检测，全系列乳制品研发、生产，冷链物流智能销售、配送的乳制品生产基地</w:t>
            </w:r>
            <w:r>
              <w:rPr>
                <w:rFonts w:hint="eastAsia" w:ascii="Times New Roman" w:hAnsi="Times New Roman" w:cs="Times New Roman"/>
                <w:sz w:val="20"/>
                <w:szCs w:val="20"/>
                <w:lang w:eastAsia="zh-CN"/>
              </w:rPr>
              <w:t>。</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jc w:val="both"/>
        <w:textAlignment w:val="auto"/>
        <w:outlineLvl w:val="9"/>
        <w:rPr>
          <w:rFonts w:hint="eastAsia" w:ascii="Times New Roman" w:hAnsi="Times New Roman" w:eastAsia="方正仿宋_GBK" w:cs="Times New Roman"/>
          <w:b/>
          <w:bCs/>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jc w:val="both"/>
        <w:textAlignment w:val="auto"/>
        <w:outlineLvl w:val="9"/>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b/>
          <w:bCs/>
          <w:sz w:val="31"/>
          <w:szCs w:val="31"/>
          <w:lang w:val="en-US" w:eastAsia="zh-CN"/>
        </w:rPr>
        <w:t>——着力打造产业品牌效应。</w:t>
      </w:r>
      <w:r>
        <w:rPr>
          <w:rFonts w:hint="default" w:ascii="Times New Roman" w:hAnsi="Times New Roman" w:eastAsia="方正仿宋_GBK" w:cs="Times New Roman"/>
          <w:sz w:val="31"/>
          <w:szCs w:val="31"/>
          <w:lang w:val="en-US" w:eastAsia="zh-CN"/>
        </w:rPr>
        <w:t>全力推进农副产品精深加工产业、酿酒葡萄产业、富硒产业发展，充分利用焉耆盆地及巴州地区资源优势，打造全疆乃至全国涉及西亚、欧洲等地的农产品加工中心。以10万亩酿酒葡萄基地为支撑，形成乡都、天塞、中菲、海瑞盛等企业为主体的发展格局，优化种植结构，扩大种植规模，加强市场推广，在扩大国内市场占有率的同时形成地域品牌效应。以中粮屯河番茄、红帆生物、甲方食品等企业为基础，扩大屯河番茄生产规模，在出口番茄酱的基础上，提升番茄沙司、小罐精装等终端产品生产能力，加大国内需求供应，扩大产品类别，强化产业集聚效应，走出国门，迈向国际。以晨光生物为龙头，大力发展下游产品企业，扶持食用辣椒深加工企业发展壮大，扩大国内外市场影响力，打造辣椒物流集散地和电子交易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jc w:val="both"/>
        <w:textAlignment w:val="auto"/>
        <w:outlineLvl w:val="9"/>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b/>
          <w:bCs/>
          <w:sz w:val="31"/>
          <w:szCs w:val="31"/>
          <w:lang w:val="en-US" w:eastAsia="zh-CN"/>
        </w:rPr>
        <w:t>——不断强化产业资源整合。</w:t>
      </w:r>
      <w:r>
        <w:rPr>
          <w:rFonts w:hint="default" w:ascii="Times New Roman" w:hAnsi="Times New Roman" w:eastAsia="方正仿宋_GBK" w:cs="Times New Roman"/>
          <w:sz w:val="31"/>
          <w:szCs w:val="31"/>
          <w:lang w:val="en-US" w:eastAsia="zh-CN"/>
        </w:rPr>
        <w:t>加强大项目引进，推进农业产业化上水平</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鼓励农副产品加工企业通过收购、兼并、参股、租赁、产业链延伸、品牌联盟等多种形式进行重组整合，发展壮大一批大型农产品加工企业集团。支持企业完善法人治理结构，建立现代企业制度。出台相关优惠政策，支持和鼓励农产品加工企业与农民专业合作社和家庭农场开展联合体建设，建立紧密联结的专用原料生产基地。</w:t>
      </w:r>
    </w:p>
    <w:p>
      <w:pPr>
        <w:keepNext w:val="0"/>
        <w:keepLines w:val="0"/>
        <w:pageBreakBefore w:val="0"/>
        <w:widowControl w:val="0"/>
        <w:kinsoku/>
        <w:wordWrap/>
        <w:overflowPunct/>
        <w:topLinePunct w:val="0"/>
        <w:autoSpaceDE/>
        <w:autoSpaceDN/>
        <w:bidi w:val="0"/>
        <w:snapToGrid/>
        <w:spacing w:line="320" w:lineRule="exact"/>
        <w:ind w:left="0" w:leftChars="0" w:right="0" w:rightChars="0"/>
        <w:textAlignment w:val="auto"/>
        <w:outlineLvl w:val="9"/>
        <w:rPr>
          <w:rFonts w:hint="default" w:ascii="方正楷体_GBK" w:hAnsi="方正楷体_GBK" w:eastAsia="方正楷体_GBK" w:cs="方正楷体_GBK"/>
          <w:b w:val="0"/>
          <w:bCs/>
          <w:sz w:val="31"/>
          <w:szCs w:val="31"/>
          <w:lang w:val="en-US" w:eastAsia="zh-CN"/>
        </w:rPr>
      </w:pPr>
    </w:p>
    <w:tbl>
      <w:tblPr>
        <w:tblStyle w:val="15"/>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4"/>
        <w:gridCol w:w="6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60" w:type="dxa"/>
            <w:gridSpan w:val="2"/>
            <w:tcBorders>
              <w:top w:val="thinThickSmallGap" w:color="auto" w:sz="24" w:space="0"/>
              <w:left w:val="thinThickSmallGap" w:color="auto" w:sz="24" w:space="0"/>
              <w:bottom w:val="thinThickSmallGap" w:color="auto" w:sz="24" w:space="0"/>
              <w:right w:val="thinThickSmallGap" w:color="auto" w:sz="24" w:space="0"/>
            </w:tcBorders>
          </w:tcPr>
          <w:p>
            <w:pPr>
              <w:spacing w:after="0" w:line="240" w:lineRule="auto"/>
            </w:pPr>
            <w:r>
              <w:rPr>
                <w:rFonts w:hint="eastAsia" w:ascii="方正黑体_GBK" w:hAnsi="方正黑体_GBK" w:eastAsia="方正黑体_GBK" w:cs="方正黑体_GBK"/>
                <w:lang w:eastAsia="en-US"/>
              </w:rPr>
              <w:t>支撑项目：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spacing w:after="0" w:line="24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晨光生物科技集团焉耆有限公司天然植物综合提取一体化项目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spacing w:after="0" w:line="24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主要建设1000吨/日菊芋加工生产线、100吨/日甜菊叶加工生产线, 500吨/日颗粒植物提取生产线,高端保健品、化妆品等终端产品生产线的建设。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spacing w:after="0" w:line="24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新疆甲方食品有限公司番茄辣椒制品加工项目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spacing w:after="0" w:line="24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计划二期投资5000万元，建设5万吨辣椒生产线，以及番茄沙司、小罐精装等高端产品。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spacing w:after="0" w:line="24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河北巴州生态产业园番茄制品加工项目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spacing w:after="0" w:line="24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计划引进番茄制品生产项目5-10个，包括番茄红素、番茄酱、番茄籽油、番茄汁饮料、番茄丁等番茄制品全产业链项目。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spacing w:after="0" w:line="24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河北巴州生态产业园辣椒制品加工项目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spacing w:after="0" w:line="24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计划引进辣椒制品生产项目5-10个，包括风味辣酱、辣椒碱、辣椒色素、食品添加剂、化妆品等辣椒制品全产业链项目。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spacing w:after="0" w:line="24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河北巴州生态产业园富硒农副产品精深加工项目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spacing w:after="0" w:line="24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计划引进富硒农产品精深加工项目5-10个，以焉耆富硒产区70多种富硒的农作物优势，加快富硒农产品的研发开发，发展特色富硒农副产品精深加工。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spacing w:after="0" w:line="24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小包装压榨精制食用油加工项目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spacing w:after="0" w:line="24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引进年产20万吨小包装压榨精制食用油项目，可与葵花油、菜籽油、花生油等生产调和油，项目市场前景广阔。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spacing w:after="0" w:line="24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富硒纯净水生产线建设项目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spacing w:after="0" w:line="24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开发富硒水资源，建设富硒纯净水灌装生产线，项目建成后可充分利用焉耆富硒饮用水，解决劳动力就业问题。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spacing w:after="0" w:line="24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富硒营养餐项目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spacing w:after="0" w:line="24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建设年产10万吨富硒营养餐生产厂房，配套建设产品研发中心、仓储中心及办公区等配套工程。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spacing w:after="0" w:line="24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焉耆特色食品产供销一体化项目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spacing w:after="0" w:line="24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以焉耆县特色美食为主打，研究各类即食小吃的封装技术和速冻技术，生产可批量运输、可贮藏的焉耆特色小吃，配套发展速食配送体系，结合文旅产业发展，打造焉耆县特色食品品牌。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spacing w:after="0" w:line="24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富硒果蔬汁饮料生产项目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spacing w:after="0" w:line="24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依托焉耆县富硒果蔬资源，建设年产2000吨富硒果蔬汁饮料生产线。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spacing w:after="0" w:line="24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富硒生物饲料加工项目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spacing w:after="0" w:line="24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整合农副产品加工企业生产附属物，建设富硒生物饲料加工项目。</w:t>
            </w:r>
          </w:p>
        </w:tc>
      </w:tr>
    </w:tbl>
    <w:p>
      <w:pPr>
        <w:keepNext w:val="0"/>
        <w:keepLines w:val="0"/>
        <w:pageBreakBefore w:val="0"/>
        <w:widowControl w:val="0"/>
        <w:kinsoku/>
        <w:wordWrap/>
        <w:overflowPunct/>
        <w:topLinePunct w:val="0"/>
        <w:autoSpaceDE/>
        <w:autoSpaceDN/>
        <w:bidi w:val="0"/>
        <w:snapToGrid/>
        <w:spacing w:line="320" w:lineRule="exact"/>
        <w:ind w:left="0" w:leftChars="0" w:right="0" w:rightChars="0"/>
        <w:textAlignment w:val="auto"/>
        <w:outlineLvl w:val="9"/>
        <w:rPr>
          <w:rFonts w:hint="default" w:ascii="方正楷体_GBK" w:hAnsi="方正楷体_GBK" w:eastAsia="方正楷体_GBK" w:cs="方正楷体_GBK"/>
          <w:b w:val="0"/>
          <w:bCs/>
          <w:sz w:val="31"/>
          <w:szCs w:val="31"/>
          <w:lang w:val="en-US" w:eastAsia="zh-CN"/>
        </w:rPr>
      </w:pPr>
    </w:p>
    <w:p>
      <w:pPr>
        <w:pStyle w:val="7"/>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方正楷体_GBK" w:hAnsi="方正楷体_GBK" w:eastAsia="方正楷体_GBK" w:cs="方正楷体_GBK"/>
          <w:b w:val="0"/>
          <w:bCs/>
          <w:sz w:val="31"/>
          <w:szCs w:val="31"/>
          <w:lang w:val="en-US" w:eastAsia="zh-CN"/>
        </w:rPr>
      </w:pPr>
      <w:bookmarkStart w:id="178" w:name="_Toc24767"/>
      <w:bookmarkStart w:id="179" w:name="_Toc27265"/>
      <w:bookmarkStart w:id="180" w:name="_Toc19040"/>
      <w:bookmarkStart w:id="181" w:name="_Toc12328"/>
      <w:bookmarkStart w:id="182" w:name="_Toc23714"/>
      <w:r>
        <w:rPr>
          <w:rFonts w:hint="default" w:ascii="方正楷体_GBK" w:hAnsi="方正楷体_GBK" w:eastAsia="方正楷体_GBK" w:cs="方正楷体_GBK"/>
          <w:b w:val="0"/>
          <w:bCs/>
          <w:sz w:val="31"/>
          <w:szCs w:val="31"/>
          <w:lang w:val="en-US" w:eastAsia="zh-CN"/>
        </w:rPr>
        <w:t>第四节  全力抓好全域旅游</w:t>
      </w:r>
      <w:bookmarkEnd w:id="175"/>
      <w:bookmarkEnd w:id="176"/>
      <w:bookmarkEnd w:id="177"/>
      <w:bookmarkEnd w:id="178"/>
      <w:bookmarkEnd w:id="179"/>
      <w:bookmarkEnd w:id="180"/>
      <w:bookmarkEnd w:id="181"/>
      <w:bookmarkEnd w:id="182"/>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加快推动特色旅游基地建设，坚持文旅结合、以文兴旅，发掘特色文化品牌，大力推进“旅游+”，完善和提升旅游综合智慧平台功能，加强景区景点基础设施建设和品牌塑造，强化旅游宣传推介，全面提升旅游的业态丰富度、空间覆盖面和时间延展性。加快建设相思湖温泉康养小镇建设，推动旅游产业走上全域规划、全景打造、全业培育、全民共享的发展快车道。</w:t>
      </w:r>
      <w:bookmarkStart w:id="183" w:name="_Toc21523"/>
      <w:bookmarkStart w:id="184" w:name="_Toc1377"/>
      <w:bookmarkStart w:id="185" w:name="_Toc8906"/>
      <w:r>
        <w:rPr>
          <w:rFonts w:hint="default" w:ascii="Times New Roman" w:hAnsi="Times New Roman" w:eastAsia="方正仿宋_GBK" w:cs="Times New Roman"/>
          <w:sz w:val="31"/>
          <w:szCs w:val="31"/>
          <w:lang w:val="en-US" w:eastAsia="zh-CN"/>
        </w:rPr>
        <w:t>到十四五末，累计接待656万人次，旅游收入7亿元，同比十三五增长98%和95%。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jc w:val="both"/>
        <w:textAlignment w:val="auto"/>
        <w:outlineLvl w:val="9"/>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b/>
          <w:bCs/>
          <w:sz w:val="31"/>
          <w:szCs w:val="31"/>
          <w:lang w:val="en-US" w:eastAsia="zh-CN"/>
        </w:rPr>
        <w:t>——加强旅游基础设施建设和品牌塑造。</w:t>
      </w:r>
      <w:r>
        <w:rPr>
          <w:rFonts w:hint="eastAsia" w:ascii="Times New Roman" w:hAnsi="Times New Roman" w:eastAsia="方正仿宋_GBK" w:cs="Times New Roman"/>
          <w:sz w:val="31"/>
          <w:szCs w:val="31"/>
          <w:lang w:val="en-US" w:eastAsia="zh-CN"/>
        </w:rPr>
        <w:t>不断深挖我县旅游资源，全力抓好霍拉山丝路古村国家4A级旅游景区建设，积极申报霍拉山景区基础设施、登山步道、汽车自驾游营地。大力推进相思湖温泉康养旅游小镇、四十里城子镇中草药基地等项目建成使用。按照“政府引导、市场运作、企业主体、创新发展”的原则，坚持品质品牌引领，突出富硒功能、焉耆特色，擦亮“新疆旅游美食文化名城”名片，提升焉耆县景区内涵及活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jc w:val="both"/>
        <w:textAlignment w:val="auto"/>
        <w:outlineLvl w:val="9"/>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b/>
          <w:bCs/>
          <w:sz w:val="31"/>
          <w:szCs w:val="31"/>
          <w:lang w:val="en-US" w:eastAsia="zh-CN"/>
        </w:rPr>
        <w:t>——提升旅游公共服务水平和质量。</w:t>
      </w:r>
      <w:r>
        <w:rPr>
          <w:rFonts w:hint="eastAsia" w:ascii="Times New Roman" w:hAnsi="Times New Roman" w:eastAsia="方正仿宋_GBK" w:cs="Times New Roman"/>
          <w:sz w:val="31"/>
          <w:szCs w:val="31"/>
          <w:lang w:val="en-US" w:eastAsia="zh-CN"/>
        </w:rPr>
        <w:t>进一步加强景区公共服务设施标准化建设，积极申报七个星千佛寺遗址、相思湖景区、东城新区体育公园国家3A级旅游景区创建工作。打造全域旅游IP地址，将焉耆旅游形象及旅游品质的文创产品、旅游纪念品等进行包装，逐渐形成产业规模，做好“微笑新疆”，提升旅游服务质量。办好美食节，特色小吃展销会、乡村文化旅游节、霍拉山越野赛、花儿艺术节等活动。引导发展民俗客栈、自驾营地等新业态，不断满足各类旅游群体的个性化多样化需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jc w:val="both"/>
        <w:textAlignment w:val="auto"/>
        <w:outlineLvl w:val="9"/>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b/>
          <w:bCs/>
          <w:sz w:val="31"/>
          <w:szCs w:val="31"/>
          <w:lang w:val="en-US" w:eastAsia="zh-CN"/>
        </w:rPr>
        <w:t>——开发旅游线路和智慧平台。</w:t>
      </w:r>
      <w:r>
        <w:rPr>
          <w:rFonts w:hint="eastAsia" w:ascii="Times New Roman" w:hAnsi="Times New Roman" w:eastAsia="方正仿宋_GBK" w:cs="Times New Roman"/>
          <w:sz w:val="31"/>
          <w:szCs w:val="31"/>
          <w:lang w:val="en-US" w:eastAsia="zh-CN"/>
        </w:rPr>
        <w:t>积极融入巴州旅游环线，合理安排“美食品鉴游、生态湖泊游、千年佛寺游、休闲酒庄游、探险自驾游、美丽乡村游、温泉康养游、精品研学游”8条精品旅游线路，外延伸展、县城对接，形成县内外精品环形旅游线。以自治区“一部手机游新疆”平台建设为契机，加快推进智慧游建设，开发焉耆旅游APP，实现一机在手、乐游焉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jc w:val="both"/>
        <w:textAlignment w:val="auto"/>
        <w:outlineLvl w:val="9"/>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b/>
          <w:bCs/>
          <w:sz w:val="31"/>
          <w:szCs w:val="31"/>
          <w:lang w:val="en-US" w:eastAsia="zh-CN"/>
        </w:rPr>
        <w:t>——加大</w:t>
      </w:r>
      <w:r>
        <w:rPr>
          <w:rFonts w:hint="default" w:ascii="Times New Roman" w:hAnsi="Times New Roman" w:eastAsia="方正仿宋_GBK" w:cs="Times New Roman"/>
          <w:b/>
          <w:bCs/>
          <w:sz w:val="31"/>
          <w:szCs w:val="31"/>
          <w:lang w:val="en-US" w:eastAsia="zh-CN"/>
        </w:rPr>
        <w:t>旅游宣传推介</w:t>
      </w:r>
      <w:r>
        <w:rPr>
          <w:rFonts w:hint="eastAsia" w:ascii="Times New Roman" w:hAnsi="Times New Roman" w:eastAsia="方正仿宋_GBK" w:cs="Times New Roman"/>
          <w:b/>
          <w:bCs/>
          <w:sz w:val="31"/>
          <w:szCs w:val="31"/>
          <w:lang w:val="en-US" w:eastAsia="zh-CN"/>
        </w:rPr>
        <w:t>和产业振兴。</w:t>
      </w:r>
      <w:bookmarkStart w:id="186" w:name="_Toc6581"/>
      <w:bookmarkStart w:id="187" w:name="_Toc3563"/>
      <w:bookmarkStart w:id="188" w:name="_Toc17369"/>
      <w:bookmarkStart w:id="189" w:name="_Toc12177"/>
      <w:r>
        <w:rPr>
          <w:rFonts w:hint="eastAsia" w:ascii="Times New Roman" w:hAnsi="Times New Roman" w:eastAsia="方正仿宋_GBK" w:cs="Times New Roman"/>
          <w:sz w:val="31"/>
          <w:szCs w:val="31"/>
          <w:lang w:val="en-US" w:eastAsia="zh-CN"/>
        </w:rPr>
        <w:t>充分利用焉耆政府微信公众号、微博、抖音、快手等新兴媒体，巧妙借助电商直播载体，构建覆盖全媒体、宽渠道的旅游推广营销网络。加快推进餐饮美食、文化旅游等产业及夜经济融合发展、着力以文兴业，把美食博物馆办成弘扬传播焉耆饮食文化的重要窗口和研究基地。围绕“游在新疆·吃在焉耆，品焉耆美食·交天下朋友”，加大对焉耆地方美食的宣传，继续举办“旅游美食文化节”“焉耆特色小吃暨旅游产品展销会”等美食文化节庆活动，发掘焉耆特色美食文化，让消费者更好的了解焉耆的“旅游餐饮名店”“旅游餐饮名菜”“旅游餐饮名宴”，带动群众和游客消费，推动旅游产业发展。</w:t>
      </w:r>
    </w:p>
    <w:p>
      <w:pPr>
        <w:keepNext w:val="0"/>
        <w:keepLines w:val="0"/>
        <w:pageBreakBefore w:val="0"/>
        <w:widowControl w:val="0"/>
        <w:kinsoku/>
        <w:wordWrap/>
        <w:overflowPunct/>
        <w:topLinePunct w:val="0"/>
        <w:autoSpaceDE/>
        <w:autoSpaceDN/>
        <w:bidi w:val="0"/>
        <w:snapToGrid/>
        <w:spacing w:line="320" w:lineRule="exact"/>
        <w:ind w:left="0" w:leftChars="0" w:right="0" w:rightChars="0"/>
        <w:textAlignment w:val="auto"/>
        <w:outlineLvl w:val="9"/>
        <w:rPr>
          <w:rFonts w:hint="eastAsia"/>
          <w:lang w:val="en-US" w:eastAsia="zh-CN"/>
        </w:rPr>
      </w:pPr>
    </w:p>
    <w:tbl>
      <w:tblPr>
        <w:tblStyle w:val="15"/>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1"/>
        <w:gridCol w:w="5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60" w:type="dxa"/>
            <w:gridSpan w:val="2"/>
            <w:tcBorders>
              <w:top w:val="thinThickSmallGap" w:color="auto" w:sz="24" w:space="0"/>
              <w:left w:val="thinThickSmallGap" w:color="auto" w:sz="24" w:space="0"/>
              <w:bottom w:val="thinThickSmallGap" w:color="auto" w:sz="24" w:space="0"/>
              <w:right w:val="thinThickSmallGap" w:color="auto" w:sz="24" w:space="0"/>
            </w:tcBorders>
            <w:vAlign w:val="top"/>
          </w:tcPr>
          <w:p>
            <w:pPr>
              <w:spacing w:after="0" w:line="240" w:lineRule="auto"/>
              <w:rPr>
                <w:rFonts w:hint="eastAsia" w:asciiTheme="minorEastAsia" w:hAnsiTheme="minorEastAsia" w:eastAsiaTheme="minorEastAsia" w:cstheme="minorEastAsia"/>
              </w:rPr>
            </w:pPr>
            <w:r>
              <w:rPr>
                <w:rFonts w:hint="eastAsia" w:ascii="方正黑体_GBK" w:hAnsi="方正黑体_GBK" w:eastAsia="方正黑体_GBK" w:cs="方正黑体_GBK"/>
                <w:lang w:val="en-US" w:eastAsia="en-US"/>
              </w:rPr>
              <w:t>支撑项目：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21"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kinsoku/>
              <w:wordWrap/>
              <w:overflowPunct/>
              <w:topLinePunct w:val="0"/>
              <w:autoSpaceDE/>
              <w:autoSpaceDN/>
              <w:bidi w:val="0"/>
              <w:adjustRightInd w:val="0"/>
              <w:snapToGrid/>
              <w:spacing w:after="0" w:line="300" w:lineRule="exact"/>
              <w:ind w:left="0" w:leftChars="0" w:right="0" w:rightChars="0" w:firstLine="0" w:firstLineChars="0"/>
              <w:jc w:val="both"/>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sz w:val="20"/>
                <w:szCs w:val="20"/>
                <w:lang w:eastAsia="zh-CN"/>
              </w:rPr>
              <w:t>相思湖温泉康养旅游小镇项目</w:t>
            </w:r>
          </w:p>
        </w:tc>
        <w:tc>
          <w:tcPr>
            <w:tcW w:w="5839" w:type="dxa"/>
            <w:tcBorders>
              <w:top w:val="thinThickSmallGap" w:color="auto" w:sz="24" w:space="0"/>
              <w:left w:val="thinThickSmallGap" w:color="auto" w:sz="24" w:space="0"/>
              <w:bottom w:val="thinThickSmallGap" w:color="auto" w:sz="24" w:space="0"/>
              <w:right w:val="thinThickSmallGap" w:color="auto" w:sz="24" w:space="0"/>
            </w:tcBorders>
            <w:vAlign w:val="top"/>
          </w:tcPr>
          <w:p>
            <w:pPr>
              <w:keepNext w:val="0"/>
              <w:keepLines w:val="0"/>
              <w:pageBreakBefore w:val="0"/>
              <w:kinsoku/>
              <w:wordWrap/>
              <w:overflowPunct/>
              <w:topLinePunct w:val="0"/>
              <w:autoSpaceDE/>
              <w:autoSpaceDN/>
              <w:bidi w:val="0"/>
              <w:adjustRightInd w:val="0"/>
              <w:snapToGrid/>
              <w:spacing w:after="0" w:line="300" w:lineRule="exact"/>
              <w:ind w:left="0" w:leftChars="0" w:right="0" w:rightChars="0" w:firstLine="0" w:firstLineChars="0"/>
              <w:jc w:val="both"/>
              <w:outlineLvl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0"/>
                <w:szCs w:val="20"/>
                <w:lang w:val="en-US" w:eastAsia="zh-CN"/>
              </w:rPr>
              <w:t>以温泉疗养为主题、参考特色小镇建设标准、结合附近农畜产品及旅游景观资源、面向当地百姓建设、融入养老养生、休闲度假、商务旅游、民俗民宿等内容的宜居宜游宜商宜养兼普惠养老的健康养生养老地产。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821"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焉耆县七个星石窟</w:t>
            </w:r>
            <w:r>
              <w:rPr>
                <w:rFonts w:hint="eastAsia" w:asciiTheme="minorEastAsia" w:hAnsiTheme="minorEastAsia" w:eastAsiaTheme="minorEastAsia" w:cstheme="minorEastAsia"/>
                <w:lang w:eastAsia="zh-CN"/>
              </w:rPr>
              <w:t>寺</w:t>
            </w:r>
            <w:r>
              <w:rPr>
                <w:rFonts w:hint="eastAsia" w:asciiTheme="minorEastAsia" w:hAnsiTheme="minorEastAsia" w:eastAsiaTheme="minorEastAsia" w:cstheme="minorEastAsia"/>
              </w:rPr>
              <w:t>遗址保护利用设施建设项目</w:t>
            </w:r>
          </w:p>
        </w:tc>
        <w:tc>
          <w:tcPr>
            <w:tcW w:w="5839" w:type="dxa"/>
            <w:tcBorders>
              <w:top w:val="thinThickSmallGap" w:color="auto" w:sz="24" w:space="0"/>
              <w:left w:val="thinThickSmallGap" w:color="auto" w:sz="24" w:space="0"/>
              <w:bottom w:val="thinThickSmallGap" w:color="auto" w:sz="24" w:space="0"/>
              <w:right w:val="thinThickSmallGap" w:color="auto" w:sz="24" w:space="0"/>
            </w:tcBorders>
            <w:vAlign w:val="top"/>
          </w:tcPr>
          <w:p>
            <w:pPr>
              <w:spacing w:after="0"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七个星佛寺遗址博物馆3200平方米； 通往石窟道路改造400米；新修400米的木栈道；电力、给排水设施、污水处理设施一套；室外消防水池 一座；生态垃圾桶、休闲座椅各10套。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821"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焉耆县霍拉山丝路古村景区基础设施建设项目</w:t>
            </w:r>
          </w:p>
        </w:tc>
        <w:tc>
          <w:tcPr>
            <w:tcW w:w="5839" w:type="dxa"/>
            <w:tcBorders>
              <w:top w:val="thinThickSmallGap" w:color="auto" w:sz="24" w:space="0"/>
              <w:left w:val="thinThickSmallGap" w:color="auto" w:sz="24" w:space="0"/>
              <w:bottom w:val="thinThickSmallGap" w:color="auto" w:sz="24" w:space="0"/>
              <w:right w:val="thinThickSmallGap" w:color="auto" w:sz="24" w:space="0"/>
            </w:tcBorders>
            <w:vAlign w:val="top"/>
          </w:tcPr>
          <w:p>
            <w:pPr>
              <w:spacing w:after="0"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建设智能化智慧景区管理系统，实现线上预约、购票、智能导游、智能监控、自动化预警监测等；新建游客集散中心1200平方米，景区标识标牌更新改造，新建人行道，新建环形自行车道10公里，改造供排水管网10公里，新建直饮水点5处，新建亲水景观平台2000平方米；新建旅游厕所3座；改建入村连接路段700米；改造原有配套停车场10000平方米，新建汽车充电设施30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trPr>
        <w:tc>
          <w:tcPr>
            <w:tcW w:w="2821"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焉耆县霍拉山思路古村景区汽车自驾营地项目</w:t>
            </w:r>
          </w:p>
        </w:tc>
        <w:tc>
          <w:tcPr>
            <w:tcW w:w="5839" w:type="dxa"/>
            <w:tcBorders>
              <w:top w:val="thinThickSmallGap" w:color="auto" w:sz="24" w:space="0"/>
              <w:left w:val="thinThickSmallGap" w:color="auto" w:sz="24" w:space="0"/>
              <w:bottom w:val="thinThickSmallGap" w:color="auto" w:sz="24" w:space="0"/>
              <w:right w:val="thinThickSmallGap" w:color="auto" w:sz="24" w:space="0"/>
            </w:tcBorders>
            <w:vAlign w:val="top"/>
          </w:tcPr>
          <w:p>
            <w:pPr>
              <w:spacing w:after="0"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建设智能化智慧景区管理系统，实现线上预约、购票、智能导游、智能监控、自动化预警监测等；新建游客集散中心1200平方米，景区标识标牌更新改造，新建人行道，新建环形自行车道10公里，改造供排水管网10公里，新建直饮水点5处，新建亲水景观平台2000平方米；新建旅游厕所3座；改建入村连接路段700米；改造原有配套停车场10000平方米，新建汽车充电设施30处。</w:t>
            </w:r>
          </w:p>
        </w:tc>
      </w:tr>
    </w:tbl>
    <w:p>
      <w:pPr>
        <w:rPr>
          <w:rFonts w:hint="default"/>
          <w:lang w:val="en-US" w:eastAsia="zh-CN"/>
        </w:rPr>
      </w:pPr>
    </w:p>
    <w:p>
      <w:pPr>
        <w:pStyle w:val="7"/>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方正楷体_GBK" w:hAnsi="方正楷体_GBK" w:eastAsia="方正楷体_GBK" w:cs="方正楷体_GBK"/>
          <w:b w:val="0"/>
          <w:bCs/>
          <w:sz w:val="31"/>
          <w:szCs w:val="31"/>
          <w:lang w:val="en-US" w:eastAsia="zh-CN"/>
        </w:rPr>
      </w:pPr>
      <w:bookmarkStart w:id="190" w:name="_Toc19559"/>
      <w:r>
        <w:rPr>
          <w:rFonts w:hint="default" w:ascii="方正楷体_GBK" w:hAnsi="方正楷体_GBK" w:eastAsia="方正楷体_GBK" w:cs="方正楷体_GBK"/>
          <w:b w:val="0"/>
          <w:bCs/>
          <w:sz w:val="31"/>
          <w:szCs w:val="31"/>
          <w:lang w:val="en-US" w:eastAsia="zh-CN"/>
        </w:rPr>
        <w:t>第五节  积极谋划馕产业发展</w:t>
      </w:r>
      <w:bookmarkEnd w:id="183"/>
      <w:bookmarkEnd w:id="184"/>
      <w:bookmarkEnd w:id="185"/>
      <w:bookmarkEnd w:id="186"/>
      <w:bookmarkEnd w:id="187"/>
      <w:bookmarkEnd w:id="188"/>
      <w:bookmarkEnd w:id="189"/>
      <w:bookmarkEnd w:id="19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rPr>
        <w:t>以馕产业发展为抓手，扩大产业规模，推进馕的标准化、规模化生产，创新品种工艺，促进小麦提质增效，拉动特色林果业产品生产销售，提高农业效益和增加农民收入。完善“产、购、储、加、销”一体化全产业链经营模式，拓展建立馕产业与旅游产业、文化产业、康养产业的融合发展模式，带动农村二三产业发展，改善农业和农村经济结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rPr>
          <w:rFonts w:hint="default" w:ascii="Times New Roman" w:hAnsi="Times New Roman" w:eastAsia="方正仿宋_GBK" w:cs="Times New Roman"/>
          <w:sz w:val="31"/>
          <w:szCs w:val="31"/>
          <w:lang w:val="en-US" w:eastAsia="zh-CN"/>
        </w:rPr>
      </w:pPr>
      <w:bookmarkStart w:id="191" w:name="_Toc6926"/>
      <w:bookmarkStart w:id="192" w:name="_Toc32290"/>
      <w:bookmarkStart w:id="193" w:name="_Toc16943"/>
      <w:r>
        <w:rPr>
          <w:rFonts w:hint="eastAsia" w:ascii="Times New Roman" w:hAnsi="Times New Roman" w:eastAsia="方正仿宋_GBK" w:cs="Times New Roman"/>
          <w:b/>
          <w:bCs/>
          <w:sz w:val="31"/>
          <w:szCs w:val="31"/>
          <w:lang w:val="en-US" w:eastAsia="zh-CN"/>
        </w:rPr>
        <w:t>——因地制宜，打造馕产业发展基地。</w:t>
      </w:r>
      <w:r>
        <w:rPr>
          <w:rFonts w:hint="default" w:ascii="Times New Roman" w:hAnsi="Times New Roman" w:eastAsia="方正仿宋_GBK" w:cs="Times New Roman"/>
          <w:sz w:val="31"/>
          <w:szCs w:val="31"/>
        </w:rPr>
        <w:t>本着面向市场、因地制宜、发挥优势、优化结构的原则，认真抓好产业化经营基地建设。有计划地建设一批特色</w:t>
      </w:r>
      <w:r>
        <w:rPr>
          <w:rFonts w:hint="default" w:ascii="Times New Roman" w:hAnsi="Times New Roman" w:eastAsia="方正仿宋_GBK" w:cs="Times New Roman"/>
          <w:sz w:val="31"/>
          <w:szCs w:val="31"/>
          <w:lang w:val="en-US" w:eastAsia="zh-CN"/>
        </w:rPr>
        <w:t>馕产品</w:t>
      </w:r>
      <w:r>
        <w:rPr>
          <w:rFonts w:hint="default" w:ascii="Times New Roman" w:hAnsi="Times New Roman" w:eastAsia="方正仿宋_GBK" w:cs="Times New Roman"/>
          <w:sz w:val="31"/>
          <w:szCs w:val="31"/>
        </w:rPr>
        <w:t>生产基地。产业布局可依据现有</w:t>
      </w:r>
      <w:r>
        <w:rPr>
          <w:rFonts w:hint="default" w:ascii="Times New Roman" w:hAnsi="Times New Roman" w:eastAsia="方正仿宋_GBK" w:cs="Times New Roman"/>
          <w:sz w:val="31"/>
          <w:szCs w:val="31"/>
          <w:lang w:val="en-US" w:eastAsia="zh-CN"/>
        </w:rPr>
        <w:t>特色食品加工企业、合作社、特色馕经销点</w:t>
      </w:r>
      <w:r>
        <w:rPr>
          <w:rFonts w:hint="default" w:ascii="Times New Roman" w:hAnsi="Times New Roman" w:eastAsia="方正仿宋_GBK" w:cs="Times New Roman"/>
          <w:sz w:val="31"/>
          <w:szCs w:val="31"/>
        </w:rPr>
        <w:t>，围绕优势特色产品的发展，努力培育具有比较优势、示范效应、带动面大的</w:t>
      </w:r>
      <w:r>
        <w:rPr>
          <w:rFonts w:hint="default" w:ascii="Times New Roman" w:hAnsi="Times New Roman" w:eastAsia="方正仿宋_GBK" w:cs="Times New Roman"/>
          <w:sz w:val="31"/>
          <w:szCs w:val="31"/>
          <w:lang w:val="en-US" w:eastAsia="zh-CN"/>
        </w:rPr>
        <w:t>加工</w:t>
      </w:r>
      <w:r>
        <w:rPr>
          <w:rFonts w:hint="default" w:ascii="Times New Roman" w:hAnsi="Times New Roman" w:eastAsia="方正仿宋_GBK" w:cs="Times New Roman"/>
          <w:sz w:val="31"/>
          <w:szCs w:val="31"/>
        </w:rPr>
        <w:t>产业化基地。围绕</w:t>
      </w:r>
      <w:r>
        <w:rPr>
          <w:rFonts w:hint="default" w:ascii="Times New Roman" w:hAnsi="Times New Roman" w:eastAsia="方正仿宋_GBK" w:cs="Times New Roman"/>
          <w:sz w:val="31"/>
          <w:szCs w:val="31"/>
          <w:lang w:val="en-US" w:eastAsia="zh-CN"/>
        </w:rPr>
        <w:t>馕</w:t>
      </w:r>
      <w:r>
        <w:rPr>
          <w:rFonts w:hint="default" w:ascii="Times New Roman" w:hAnsi="Times New Roman" w:eastAsia="方正仿宋_GBK" w:cs="Times New Roman"/>
          <w:sz w:val="31"/>
          <w:szCs w:val="31"/>
        </w:rPr>
        <w:t>产业化基地建设，加强</w:t>
      </w:r>
      <w:r>
        <w:rPr>
          <w:rFonts w:hint="default" w:ascii="Times New Roman" w:hAnsi="Times New Roman" w:eastAsia="方正仿宋_GBK" w:cs="Times New Roman"/>
          <w:sz w:val="31"/>
          <w:szCs w:val="31"/>
          <w:lang w:val="en-US" w:eastAsia="zh-CN"/>
        </w:rPr>
        <w:t>卫生</w:t>
      </w:r>
      <w:r>
        <w:rPr>
          <w:rFonts w:hint="default" w:ascii="Times New Roman" w:hAnsi="Times New Roman" w:eastAsia="方正仿宋_GBK" w:cs="Times New Roman"/>
          <w:sz w:val="31"/>
          <w:szCs w:val="31"/>
        </w:rPr>
        <w:t>、</w:t>
      </w:r>
      <w:r>
        <w:rPr>
          <w:rFonts w:hint="default" w:ascii="Times New Roman" w:hAnsi="Times New Roman" w:eastAsia="方正仿宋_GBK" w:cs="Times New Roman"/>
          <w:sz w:val="31"/>
          <w:szCs w:val="31"/>
          <w:lang w:val="en-US" w:eastAsia="zh-CN"/>
        </w:rPr>
        <w:t>运输</w:t>
      </w:r>
      <w:r>
        <w:rPr>
          <w:rFonts w:hint="default" w:ascii="Times New Roman" w:hAnsi="Times New Roman" w:eastAsia="方正仿宋_GBK" w:cs="Times New Roman"/>
          <w:sz w:val="31"/>
          <w:szCs w:val="31"/>
        </w:rPr>
        <w:t>、</w:t>
      </w:r>
      <w:r>
        <w:rPr>
          <w:rFonts w:hint="default" w:ascii="Times New Roman" w:hAnsi="Times New Roman" w:eastAsia="方正仿宋_GBK" w:cs="Times New Roman"/>
          <w:sz w:val="31"/>
          <w:szCs w:val="31"/>
          <w:lang w:val="en-US" w:eastAsia="zh-CN"/>
        </w:rPr>
        <w:t>仓储</w:t>
      </w:r>
      <w:r>
        <w:rPr>
          <w:rFonts w:hint="default" w:ascii="Times New Roman" w:hAnsi="Times New Roman" w:eastAsia="方正仿宋_GBK" w:cs="Times New Roman"/>
          <w:sz w:val="31"/>
          <w:szCs w:val="31"/>
        </w:rPr>
        <w:t>、</w:t>
      </w:r>
      <w:r>
        <w:rPr>
          <w:rFonts w:hint="default" w:ascii="Times New Roman" w:hAnsi="Times New Roman" w:eastAsia="方正仿宋_GBK" w:cs="Times New Roman"/>
          <w:sz w:val="31"/>
          <w:szCs w:val="31"/>
          <w:lang w:val="en-US" w:eastAsia="zh-CN"/>
        </w:rPr>
        <w:t>销售</w:t>
      </w:r>
      <w:r>
        <w:rPr>
          <w:rFonts w:hint="default" w:ascii="Times New Roman" w:hAnsi="Times New Roman" w:eastAsia="方正仿宋_GBK" w:cs="Times New Roman"/>
          <w:sz w:val="31"/>
          <w:szCs w:val="31"/>
        </w:rPr>
        <w:t>等基础设施建设。</w:t>
      </w:r>
      <w:r>
        <w:rPr>
          <w:rFonts w:hint="default" w:ascii="Times New Roman" w:hAnsi="Times New Roman" w:eastAsia="方正仿宋_GBK" w:cs="Times New Roman"/>
          <w:sz w:val="31"/>
          <w:szCs w:val="31"/>
          <w:lang w:val="en-US" w:eastAsia="zh-CN"/>
        </w:rPr>
        <w:t>以</w:t>
      </w:r>
      <w:r>
        <w:rPr>
          <w:rFonts w:hint="default" w:ascii="Times New Roman" w:hAnsi="Times New Roman" w:eastAsia="方正仿宋_GBK" w:cs="Times New Roman"/>
          <w:sz w:val="31"/>
          <w:szCs w:val="31"/>
        </w:rPr>
        <w:t>新疆硒域硒都科技农业有限公司富硒馕厂</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lang w:val="en-US" w:eastAsia="zh-CN"/>
        </w:rPr>
        <w:t>焉耆艾丽巴食品有限公司为龙头带动，辐射带动各乡镇场馕加工能力，</w:t>
      </w:r>
      <w:r>
        <w:rPr>
          <w:rFonts w:hint="default" w:ascii="Times New Roman" w:hAnsi="Times New Roman" w:eastAsia="方正仿宋_GBK" w:cs="Times New Roman"/>
          <w:sz w:val="31"/>
          <w:szCs w:val="31"/>
        </w:rPr>
        <w:t>建立或整合馕合作社，建设馕产业的产销骨干，以“</w:t>
      </w:r>
      <w:r>
        <w:rPr>
          <w:rFonts w:hint="default" w:ascii="Times New Roman" w:hAnsi="Times New Roman" w:eastAsia="方正仿宋_GBK" w:cs="Times New Roman"/>
          <w:sz w:val="31"/>
          <w:szCs w:val="31"/>
          <w:lang w:val="en-US" w:eastAsia="zh-CN"/>
        </w:rPr>
        <w:t>公司+</w:t>
      </w:r>
      <w:r>
        <w:rPr>
          <w:rFonts w:hint="default" w:ascii="Times New Roman" w:hAnsi="Times New Roman" w:eastAsia="方正仿宋_GBK" w:cs="Times New Roman"/>
          <w:sz w:val="31"/>
          <w:szCs w:val="31"/>
        </w:rPr>
        <w:t>合作社+个体户”的方式提高产业集约度，提升市场主体地位</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lang w:val="en-US" w:eastAsia="zh-CN"/>
        </w:rPr>
        <w:t>依托焉耆美食博物馆，发挥</w:t>
      </w:r>
      <w:r>
        <w:rPr>
          <w:rFonts w:hint="default" w:ascii="Times New Roman" w:hAnsi="Times New Roman" w:eastAsia="方正仿宋_GBK" w:cs="Times New Roman"/>
          <w:sz w:val="31"/>
          <w:szCs w:val="31"/>
          <w:lang w:eastAsia="zh-CN"/>
        </w:rPr>
        <w:t>焉耆历史文化底蕴深厚，旅游资源丰富</w:t>
      </w:r>
      <w:r>
        <w:rPr>
          <w:rFonts w:hint="default" w:ascii="Times New Roman" w:hAnsi="Times New Roman" w:eastAsia="方正仿宋_GBK" w:cs="Times New Roman"/>
          <w:sz w:val="31"/>
          <w:szCs w:val="31"/>
          <w:lang w:val="en-US" w:eastAsia="zh-CN"/>
        </w:rPr>
        <w:t>的优势，推动馕产业发展。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rPr>
          <w:rFonts w:hint="default" w:ascii="Times New Roman" w:hAnsi="Times New Roman" w:eastAsia="方正仿宋_GBK" w:cs="Times New Roman"/>
          <w:sz w:val="31"/>
          <w:szCs w:val="31"/>
        </w:rPr>
      </w:pPr>
      <w:r>
        <w:rPr>
          <w:rFonts w:hint="eastAsia" w:ascii="Times New Roman" w:hAnsi="Times New Roman" w:eastAsia="方正仿宋_GBK" w:cs="Times New Roman"/>
          <w:b/>
          <w:bCs/>
          <w:sz w:val="31"/>
          <w:szCs w:val="31"/>
          <w:lang w:val="en-US" w:eastAsia="zh-CN"/>
        </w:rPr>
        <w:t>——</w:t>
      </w:r>
      <w:r>
        <w:rPr>
          <w:rFonts w:hint="eastAsia" w:ascii="Times New Roman" w:hAnsi="Times New Roman" w:eastAsia="方正仿宋_GBK" w:cs="Times New Roman"/>
          <w:b/>
          <w:bCs/>
          <w:sz w:val="31"/>
          <w:szCs w:val="31"/>
        </w:rPr>
        <w:t>推进标准化生产，提高产品竞争力。</w:t>
      </w:r>
      <w:r>
        <w:rPr>
          <w:rFonts w:hint="default" w:ascii="Times New Roman" w:hAnsi="Times New Roman" w:eastAsia="方正仿宋_GBK" w:cs="Times New Roman"/>
          <w:sz w:val="31"/>
          <w:szCs w:val="31"/>
        </w:rPr>
        <w:t>加强对产品质量安全检测，用</w:t>
      </w:r>
      <w:r>
        <w:rPr>
          <w:rFonts w:hint="default" w:ascii="Times New Roman" w:hAnsi="Times New Roman" w:eastAsia="方正仿宋_GBK" w:cs="Times New Roman"/>
          <w:sz w:val="31"/>
          <w:szCs w:val="31"/>
          <w:lang w:val="en-US" w:eastAsia="zh-CN"/>
        </w:rPr>
        <w:t>产</w:t>
      </w:r>
      <w:r>
        <w:rPr>
          <w:rFonts w:hint="default" w:ascii="Times New Roman" w:hAnsi="Times New Roman" w:eastAsia="方正仿宋_GBK" w:cs="Times New Roman"/>
          <w:sz w:val="31"/>
          <w:szCs w:val="31"/>
        </w:rPr>
        <w:t>业标准化推动</w:t>
      </w:r>
      <w:r>
        <w:rPr>
          <w:rFonts w:hint="default" w:ascii="Times New Roman" w:hAnsi="Times New Roman" w:eastAsia="方正仿宋_GBK" w:cs="Times New Roman"/>
          <w:sz w:val="31"/>
          <w:szCs w:val="31"/>
          <w:lang w:val="en-US" w:eastAsia="zh-CN"/>
        </w:rPr>
        <w:t>产品</w:t>
      </w:r>
      <w:r>
        <w:rPr>
          <w:rFonts w:hint="default" w:ascii="Times New Roman" w:hAnsi="Times New Roman" w:eastAsia="方正仿宋_GBK" w:cs="Times New Roman"/>
          <w:sz w:val="31"/>
          <w:szCs w:val="31"/>
        </w:rPr>
        <w:t>产业化。积极采用国家农产品、食品质量标准，确保</w:t>
      </w:r>
      <w:r>
        <w:rPr>
          <w:rFonts w:hint="default" w:ascii="Times New Roman" w:hAnsi="Times New Roman" w:eastAsia="方正仿宋_GBK" w:cs="Times New Roman"/>
          <w:sz w:val="31"/>
          <w:szCs w:val="31"/>
          <w:lang w:val="en-US" w:eastAsia="zh-CN"/>
        </w:rPr>
        <w:t>馕</w:t>
      </w:r>
      <w:r>
        <w:rPr>
          <w:rFonts w:hint="default" w:ascii="Times New Roman" w:hAnsi="Times New Roman" w:eastAsia="方正仿宋_GBK" w:cs="Times New Roman"/>
          <w:sz w:val="31"/>
          <w:szCs w:val="31"/>
        </w:rPr>
        <w:t>产品的质量和卫生安全，全面提高农产品的质量安全水平和市场竞争力。把抓点示范作为推动</w:t>
      </w:r>
      <w:r>
        <w:rPr>
          <w:rFonts w:hint="default" w:ascii="Times New Roman" w:hAnsi="Times New Roman" w:eastAsia="方正仿宋_GBK" w:cs="Times New Roman"/>
          <w:sz w:val="31"/>
          <w:szCs w:val="31"/>
          <w:lang w:val="en-US" w:eastAsia="zh-CN"/>
        </w:rPr>
        <w:t>馕</w:t>
      </w:r>
      <w:r>
        <w:rPr>
          <w:rFonts w:hint="default" w:ascii="Times New Roman" w:hAnsi="Times New Roman" w:eastAsia="方正仿宋_GBK" w:cs="Times New Roman"/>
          <w:sz w:val="31"/>
          <w:szCs w:val="31"/>
        </w:rPr>
        <w:t>产业化快速发展的切入点和扩张、提质、增效的突破口，积极创建一批</w:t>
      </w:r>
      <w:r>
        <w:rPr>
          <w:rFonts w:hint="default" w:ascii="Times New Roman" w:hAnsi="Times New Roman" w:eastAsia="方正仿宋_GBK" w:cs="Times New Roman"/>
          <w:sz w:val="31"/>
          <w:szCs w:val="31"/>
          <w:lang w:val="en-US" w:eastAsia="zh-CN"/>
        </w:rPr>
        <w:t>产品新颖</w:t>
      </w:r>
      <w:r>
        <w:rPr>
          <w:rFonts w:hint="default" w:ascii="Times New Roman" w:hAnsi="Times New Roman" w:eastAsia="方正仿宋_GBK" w:cs="Times New Roman"/>
          <w:sz w:val="31"/>
          <w:szCs w:val="31"/>
        </w:rPr>
        <w:t>、产出效益高、示范带动能力强的示范点，使处处有亮点，个个有特色，连点成线，扩线为面，形成规模扩张与提质增效有机结合的新局面。搞好市场体系建设，促进产品转化升值，根据产业布局、经济流向，引导形成具有一定规模、设施功能完善、辐射带动力强的</w:t>
      </w:r>
      <w:r>
        <w:rPr>
          <w:rFonts w:hint="default" w:ascii="Times New Roman" w:hAnsi="Times New Roman" w:eastAsia="方正仿宋_GBK" w:cs="Times New Roman"/>
          <w:sz w:val="31"/>
          <w:szCs w:val="31"/>
          <w:lang w:val="en-US" w:eastAsia="zh-CN"/>
        </w:rPr>
        <w:t>馕系列产品</w:t>
      </w:r>
      <w:r>
        <w:rPr>
          <w:rFonts w:hint="default" w:ascii="Times New Roman" w:hAnsi="Times New Roman" w:eastAsia="方正仿宋_GBK" w:cs="Times New Roman"/>
          <w:sz w:val="31"/>
          <w:szCs w:val="31"/>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b/>
          <w:bCs/>
          <w:sz w:val="31"/>
          <w:szCs w:val="31"/>
          <w:lang w:val="en-US" w:eastAsia="zh-CN"/>
        </w:rPr>
        <w:t>——</w:t>
      </w:r>
      <w:r>
        <w:rPr>
          <w:rFonts w:hint="eastAsia" w:ascii="Times New Roman" w:hAnsi="Times New Roman" w:eastAsia="方正仿宋_GBK" w:cs="Times New Roman"/>
          <w:b/>
          <w:bCs/>
          <w:sz w:val="31"/>
          <w:szCs w:val="31"/>
        </w:rPr>
        <w:t>加快信息体系建设，</w:t>
      </w:r>
      <w:r>
        <w:rPr>
          <w:rFonts w:hint="eastAsia" w:ascii="Times New Roman" w:hAnsi="Times New Roman" w:eastAsia="方正仿宋_GBK" w:cs="Times New Roman"/>
          <w:b/>
          <w:bCs/>
          <w:sz w:val="31"/>
          <w:szCs w:val="31"/>
          <w:lang w:val="en-US" w:eastAsia="zh-CN"/>
        </w:rPr>
        <w:t>提升工业化生产水平。</w:t>
      </w:r>
      <w:r>
        <w:rPr>
          <w:rFonts w:hint="default" w:ascii="Times New Roman" w:hAnsi="Times New Roman" w:eastAsia="方正仿宋_GBK" w:cs="Times New Roman"/>
          <w:sz w:val="31"/>
          <w:szCs w:val="31"/>
        </w:rPr>
        <w:t>实现信息资源联通共享，引导和帮助龙头企业、专业合作经济组织、专业大户发展农产品专营店，建立网上交易平台，</w:t>
      </w:r>
      <w:r>
        <w:rPr>
          <w:rFonts w:hint="default" w:ascii="Times New Roman" w:hAnsi="Times New Roman" w:eastAsia="方正仿宋_GBK" w:cs="Times New Roman"/>
          <w:sz w:val="31"/>
          <w:szCs w:val="31"/>
          <w:lang w:val="en-US" w:eastAsia="zh-CN"/>
        </w:rPr>
        <w:t>通过电商、直播等方式</w:t>
      </w:r>
      <w:r>
        <w:rPr>
          <w:rFonts w:hint="default" w:ascii="Times New Roman" w:hAnsi="Times New Roman" w:eastAsia="方正仿宋_GBK" w:cs="Times New Roman"/>
          <w:sz w:val="31"/>
          <w:szCs w:val="31"/>
        </w:rPr>
        <w:t>不断畅通产品销售渠道，扩大市场营销规模，大幅度提升经济效益。修建现代化馕食品加工生产厂房，</w:t>
      </w:r>
      <w:r>
        <w:rPr>
          <w:rFonts w:hint="default" w:ascii="Times New Roman" w:hAnsi="Times New Roman" w:eastAsia="方正仿宋_GBK" w:cs="Times New Roman"/>
          <w:sz w:val="31"/>
          <w:szCs w:val="31"/>
          <w:lang w:val="en-US" w:eastAsia="zh-CN"/>
        </w:rPr>
        <w:t>更新、</w:t>
      </w:r>
      <w:r>
        <w:rPr>
          <w:rFonts w:hint="default" w:ascii="Times New Roman" w:hAnsi="Times New Roman" w:eastAsia="方正仿宋_GBK" w:cs="Times New Roman"/>
          <w:sz w:val="31"/>
          <w:szCs w:val="31"/>
        </w:rPr>
        <w:t>购置先进馕加工制作生产线，</w:t>
      </w:r>
      <w:r>
        <w:rPr>
          <w:rFonts w:hint="default" w:ascii="Times New Roman" w:hAnsi="Times New Roman" w:eastAsia="方正仿宋_GBK" w:cs="Times New Roman"/>
          <w:sz w:val="31"/>
          <w:szCs w:val="31"/>
          <w:lang w:val="en-US" w:eastAsia="zh-CN"/>
        </w:rPr>
        <w:t>逐步转变</w:t>
      </w:r>
      <w:r>
        <w:rPr>
          <w:rFonts w:hint="default" w:ascii="Times New Roman" w:hAnsi="Times New Roman" w:eastAsia="方正仿宋_GBK" w:cs="Times New Roman"/>
          <w:sz w:val="31"/>
          <w:szCs w:val="31"/>
        </w:rPr>
        <w:t>传统土馕坑打馕方式，向</w:t>
      </w:r>
      <w:r>
        <w:rPr>
          <w:rFonts w:hint="default" w:ascii="Times New Roman" w:hAnsi="Times New Roman" w:eastAsia="方正仿宋_GBK" w:cs="Times New Roman"/>
          <w:sz w:val="31"/>
          <w:szCs w:val="31"/>
          <w:lang w:val="en-US" w:eastAsia="zh-CN"/>
        </w:rPr>
        <w:t>规模化、</w:t>
      </w:r>
      <w:r>
        <w:rPr>
          <w:rFonts w:hint="default" w:ascii="Times New Roman" w:hAnsi="Times New Roman" w:eastAsia="方正仿宋_GBK" w:cs="Times New Roman"/>
          <w:sz w:val="31"/>
          <w:szCs w:val="31"/>
        </w:rPr>
        <w:t>工业化生产</w:t>
      </w:r>
      <w:r>
        <w:rPr>
          <w:rFonts w:hint="default" w:ascii="Times New Roman" w:hAnsi="Times New Roman" w:eastAsia="方正仿宋_GBK" w:cs="Times New Roman"/>
          <w:sz w:val="31"/>
          <w:szCs w:val="31"/>
          <w:lang w:val="en-US" w:eastAsia="zh-CN"/>
        </w:rPr>
        <w:t>提升</w:t>
      </w:r>
      <w:r>
        <w:rPr>
          <w:rFonts w:hint="default" w:ascii="Times New Roman" w:hAnsi="Times New Roman" w:eastAsia="方正仿宋_GBK" w:cs="Times New Roman"/>
          <w:sz w:val="31"/>
          <w:szCs w:val="31"/>
        </w:rPr>
        <w:t>。</w:t>
      </w:r>
      <w:r>
        <w:rPr>
          <w:rFonts w:hint="default" w:ascii="Times New Roman" w:hAnsi="Times New Roman" w:eastAsia="方正仿宋_GBK" w:cs="Times New Roman"/>
          <w:sz w:val="31"/>
          <w:szCs w:val="31"/>
          <w:lang w:val="en-US" w:eastAsia="zh-CN"/>
        </w:rPr>
        <w:t>按照口味定制个性化手工传统馕。在</w:t>
      </w:r>
      <w:r>
        <w:rPr>
          <w:rFonts w:hint="default" w:ascii="Times New Roman" w:hAnsi="Times New Roman" w:eastAsia="方正仿宋_GBK" w:cs="Times New Roman"/>
          <w:sz w:val="31"/>
          <w:szCs w:val="31"/>
        </w:rPr>
        <w:t>玫瑰花馕、奶子馕、面包馕、芝麻馕、辣皮子馕等</w:t>
      </w:r>
      <w:r>
        <w:rPr>
          <w:rFonts w:hint="default" w:ascii="Times New Roman" w:hAnsi="Times New Roman" w:eastAsia="方正仿宋_GBK" w:cs="Times New Roman"/>
          <w:sz w:val="31"/>
          <w:szCs w:val="31"/>
          <w:lang w:val="en-US" w:eastAsia="zh-CN"/>
        </w:rPr>
        <w:t>品种上进行更多品种的开发。</w:t>
      </w:r>
    </w:p>
    <w:p>
      <w:pPr>
        <w:pStyle w:val="3"/>
        <w:rPr>
          <w:rFonts w:hint="default"/>
          <w:lang w:val="en-US" w:eastAsia="zh-CN"/>
        </w:rPr>
      </w:pPr>
    </w:p>
    <w:p>
      <w:pPr>
        <w:pStyle w:val="4"/>
        <w:rPr>
          <w:rFonts w:hint="default"/>
          <w:lang w:val="en-US" w:eastAsia="zh-CN"/>
        </w:rPr>
      </w:pPr>
    </w:p>
    <w:p>
      <w:pPr>
        <w:pStyle w:val="4"/>
        <w:rPr>
          <w:rFonts w:hint="default"/>
          <w:lang w:val="en-US" w:eastAsia="zh-CN"/>
        </w:rPr>
      </w:pPr>
    </w:p>
    <w:p>
      <w:pPr>
        <w:pStyle w:val="4"/>
        <w:rPr>
          <w:rFonts w:hint="default"/>
          <w:lang w:val="en-US" w:eastAsia="zh-CN"/>
        </w:rPr>
      </w:pPr>
    </w:p>
    <w:tbl>
      <w:tblPr>
        <w:tblStyle w:val="15"/>
        <w:tblpPr w:leftFromText="180" w:rightFromText="180" w:vertAnchor="text" w:horzAnchor="page" w:tblpX="1641" w:tblpY="968"/>
        <w:tblOverlap w:val="never"/>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4"/>
        <w:gridCol w:w="6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660" w:type="dxa"/>
            <w:gridSpan w:val="2"/>
            <w:tcBorders>
              <w:top w:val="thinThickSmallGap" w:color="auto" w:sz="24" w:space="0"/>
              <w:left w:val="thinThickSmallGap" w:color="auto" w:sz="24" w:space="0"/>
              <w:bottom w:val="thinThickSmallGap" w:color="auto" w:sz="24" w:space="0"/>
              <w:right w:val="thinThickSmallGap" w:color="auto" w:sz="24" w:space="0"/>
            </w:tcBorders>
          </w:tcPr>
          <w:p>
            <w:pPr>
              <w:spacing w:after="0" w:line="240" w:lineRule="auto"/>
              <w:rPr>
                <w:rFonts w:hint="eastAsia"/>
                <w:lang w:eastAsia="zh-CN"/>
              </w:rPr>
            </w:pPr>
            <w:r>
              <w:rPr>
                <w:rFonts w:hint="eastAsia" w:ascii="方正黑体_GBK" w:hAnsi="方正黑体_GBK" w:eastAsia="方正黑体_GBK" w:cs="方正黑体_GBK"/>
                <w:lang w:eastAsia="zh-CN"/>
              </w:rPr>
              <w:t>专栏：项目支撑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sz w:val="20"/>
                <w:szCs w:val="20"/>
                <w:lang w:val="en-US" w:eastAsia="zh-CN"/>
              </w:rPr>
            </w:pPr>
            <w:r>
              <w:rPr>
                <w:rFonts w:hint="default"/>
                <w:sz w:val="20"/>
                <w:szCs w:val="20"/>
              </w:rPr>
              <w:t>焉耆县硒博园</w:t>
            </w:r>
            <w:r>
              <w:rPr>
                <w:rFonts w:hint="eastAsia"/>
                <w:sz w:val="20"/>
                <w:szCs w:val="20"/>
                <w:lang w:val="en-US" w:eastAsia="zh-CN"/>
              </w:rPr>
              <w:t>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sz w:val="20"/>
                <w:szCs w:val="20"/>
                <w:lang w:val="en-US" w:eastAsia="zh-CN"/>
              </w:rPr>
            </w:pPr>
            <w:r>
              <w:rPr>
                <w:rFonts w:hint="eastAsia"/>
                <w:sz w:val="20"/>
                <w:szCs w:val="20"/>
                <w:lang w:val="en-US" w:eastAsia="zh-CN"/>
              </w:rPr>
              <w:t>依托</w:t>
            </w:r>
            <w:r>
              <w:rPr>
                <w:rFonts w:hint="default"/>
                <w:sz w:val="20"/>
                <w:szCs w:val="20"/>
              </w:rPr>
              <w:t>焉耆</w:t>
            </w:r>
            <w:r>
              <w:rPr>
                <w:rFonts w:hint="eastAsia"/>
                <w:sz w:val="20"/>
                <w:szCs w:val="20"/>
                <w:lang w:val="en-US" w:eastAsia="zh-CN"/>
              </w:rPr>
              <w:t>县</w:t>
            </w:r>
            <w:r>
              <w:rPr>
                <w:rFonts w:hint="default"/>
                <w:sz w:val="20"/>
                <w:szCs w:val="20"/>
              </w:rPr>
              <w:t>富硒</w:t>
            </w:r>
            <w:r>
              <w:rPr>
                <w:rFonts w:hint="eastAsia"/>
                <w:sz w:val="20"/>
                <w:szCs w:val="20"/>
                <w:lang w:val="en-US" w:eastAsia="zh-CN"/>
              </w:rPr>
              <w:t>土壤</w:t>
            </w:r>
            <w:r>
              <w:rPr>
                <w:rFonts w:hint="default"/>
                <w:sz w:val="20"/>
                <w:szCs w:val="20"/>
              </w:rPr>
              <w:t>资源，</w:t>
            </w:r>
            <w:r>
              <w:rPr>
                <w:rFonts w:hint="eastAsia"/>
                <w:sz w:val="20"/>
                <w:szCs w:val="20"/>
                <w:lang w:val="en-US" w:eastAsia="zh-CN"/>
              </w:rPr>
              <w:t>以</w:t>
            </w:r>
            <w:r>
              <w:rPr>
                <w:rFonts w:hint="default"/>
                <w:sz w:val="20"/>
                <w:szCs w:val="20"/>
              </w:rPr>
              <w:t>富硒产业标准化与信息化的规范与应用</w:t>
            </w:r>
            <w:r>
              <w:rPr>
                <w:rFonts w:hint="eastAsia"/>
                <w:sz w:val="20"/>
                <w:szCs w:val="20"/>
                <w:lang w:val="en-US" w:eastAsia="zh-CN"/>
              </w:rPr>
              <w:t>为依托</w:t>
            </w:r>
            <w:r>
              <w:rPr>
                <w:rFonts w:hint="default"/>
                <w:sz w:val="20"/>
                <w:szCs w:val="20"/>
              </w:rPr>
              <w:t>，</w:t>
            </w:r>
            <w:r>
              <w:rPr>
                <w:rFonts w:hint="eastAsia"/>
                <w:sz w:val="20"/>
                <w:szCs w:val="20"/>
                <w:lang w:val="en-US" w:eastAsia="zh-CN"/>
              </w:rPr>
              <w:t>建立焉耆县</w:t>
            </w:r>
            <w:r>
              <w:rPr>
                <w:rFonts w:hint="default"/>
                <w:sz w:val="20"/>
                <w:szCs w:val="20"/>
              </w:rPr>
              <w:t>富硒产业</w:t>
            </w:r>
            <w:r>
              <w:rPr>
                <w:rFonts w:hint="eastAsia"/>
                <w:sz w:val="20"/>
                <w:szCs w:val="20"/>
                <w:lang w:val="en-US" w:eastAsia="zh-CN"/>
              </w:rPr>
              <w:t>体系，延伸</w:t>
            </w:r>
            <w:r>
              <w:rPr>
                <w:rFonts w:hint="default"/>
                <w:sz w:val="20"/>
                <w:szCs w:val="20"/>
              </w:rPr>
              <w:t>富硒产业链</w:t>
            </w:r>
            <w:r>
              <w:rPr>
                <w:rFonts w:hint="eastAsia"/>
                <w:sz w:val="20"/>
                <w:szCs w:val="20"/>
                <w:lang w:eastAsia="zh-CN"/>
              </w:rPr>
              <w:t>，</w:t>
            </w:r>
            <w:r>
              <w:rPr>
                <w:rFonts w:hint="eastAsia"/>
                <w:sz w:val="20"/>
                <w:szCs w:val="20"/>
                <w:lang w:val="en-US" w:eastAsia="zh-CN"/>
              </w:rPr>
              <w:t>成立</w:t>
            </w:r>
            <w:r>
              <w:rPr>
                <w:rFonts w:hint="default"/>
                <w:sz w:val="20"/>
                <w:szCs w:val="20"/>
              </w:rPr>
              <w:t>焉耆富硒科研院所，</w:t>
            </w:r>
            <w:r>
              <w:rPr>
                <w:rFonts w:hint="eastAsia"/>
                <w:sz w:val="20"/>
                <w:szCs w:val="20"/>
                <w:lang w:val="en-US" w:eastAsia="zh-CN"/>
              </w:rPr>
              <w:t>对</w:t>
            </w:r>
            <w:r>
              <w:rPr>
                <w:rFonts w:hint="default"/>
                <w:sz w:val="20"/>
                <w:szCs w:val="20"/>
              </w:rPr>
              <w:t>富硒农副产品</w:t>
            </w:r>
            <w:r>
              <w:rPr>
                <w:rFonts w:hint="eastAsia"/>
                <w:sz w:val="20"/>
                <w:szCs w:val="20"/>
                <w:lang w:val="en-US" w:eastAsia="zh-CN"/>
              </w:rPr>
              <w:t>深度</w:t>
            </w:r>
            <w:r>
              <w:rPr>
                <w:rFonts w:hint="default"/>
                <w:sz w:val="20"/>
                <w:szCs w:val="20"/>
              </w:rPr>
              <w:t>研发</w:t>
            </w:r>
            <w:r>
              <w:rPr>
                <w:rFonts w:hint="eastAsia"/>
                <w:sz w:val="20"/>
                <w:szCs w:val="20"/>
                <w:lang w:eastAsia="zh-CN"/>
              </w:rPr>
              <w:t>，</w:t>
            </w:r>
            <w:r>
              <w:rPr>
                <w:rFonts w:hint="eastAsia"/>
                <w:sz w:val="20"/>
                <w:szCs w:val="20"/>
                <w:lang w:val="en-US" w:eastAsia="zh-CN"/>
              </w:rPr>
              <w:t>推进焉耆县</w:t>
            </w:r>
            <w:r>
              <w:rPr>
                <w:rFonts w:hint="default"/>
                <w:sz w:val="20"/>
                <w:szCs w:val="20"/>
              </w:rPr>
              <w:t>富硒</w:t>
            </w:r>
            <w:r>
              <w:rPr>
                <w:rFonts w:hint="eastAsia"/>
                <w:sz w:val="20"/>
                <w:szCs w:val="20"/>
                <w:lang w:val="en-US" w:eastAsia="zh-CN"/>
              </w:rPr>
              <w:t>发展。</w:t>
            </w:r>
          </w:p>
        </w:tc>
      </w:tr>
    </w:tbl>
    <w:p>
      <w:pPr>
        <w:rPr>
          <w:rFonts w:hint="default"/>
          <w:lang w:val="en-US" w:eastAsia="zh-CN"/>
        </w:rPr>
      </w:pPr>
      <w:bookmarkStart w:id="194" w:name="_Toc8123"/>
      <w:bookmarkStart w:id="195" w:name="_Toc1238"/>
      <w:bookmarkStart w:id="196" w:name="_Toc30318"/>
      <w:bookmarkStart w:id="197" w:name="_Toc21619"/>
      <w:bookmarkStart w:id="198" w:name="_Toc1500"/>
    </w:p>
    <w:p>
      <w:pPr>
        <w:rPr>
          <w:rFonts w:hint="default"/>
          <w:lang w:val="en-US" w:eastAsia="zh-CN"/>
        </w:rPr>
      </w:pPr>
    </w:p>
    <w:p>
      <w:pPr>
        <w:pStyle w:val="7"/>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方正楷体_GBK" w:hAnsi="方正楷体_GBK" w:eastAsia="方正楷体_GBK" w:cs="方正楷体_GBK"/>
          <w:b w:val="0"/>
          <w:bCs/>
          <w:sz w:val="31"/>
          <w:szCs w:val="31"/>
          <w:lang w:val="en-US" w:eastAsia="zh-CN"/>
        </w:rPr>
      </w:pPr>
      <w:r>
        <w:rPr>
          <w:rFonts w:hint="default" w:ascii="方正楷体_GBK" w:hAnsi="方正楷体_GBK" w:eastAsia="方正楷体_GBK" w:cs="方正楷体_GBK"/>
          <w:b w:val="0"/>
          <w:bCs/>
          <w:sz w:val="31"/>
          <w:szCs w:val="31"/>
          <w:lang w:val="en-US" w:eastAsia="zh-CN"/>
        </w:rPr>
        <w:t>第六节  提升酿酒葡萄品牌地位</w:t>
      </w:r>
      <w:bookmarkEnd w:id="191"/>
      <w:bookmarkEnd w:id="192"/>
      <w:bookmarkEnd w:id="193"/>
      <w:bookmarkEnd w:id="194"/>
      <w:bookmarkEnd w:id="195"/>
      <w:bookmarkEnd w:id="196"/>
      <w:bookmarkEnd w:id="197"/>
      <w:bookmarkEnd w:id="19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eastAsia"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依托酿酒葡萄种植基地，持续发展壮大葡萄酒产业，继续发挥乡都、天塞、中菲三大酒庄示范引领作用，充分挖掘效益潜能，延伸葡萄酒产业链，建成一批集葡萄庄园、购物、餐饮、住宿为一体的酿酒葡萄生态酒庄酒堡，塑造焉耆产区高端葡萄酒品牌，构筑葡萄酒庄集群。</w:t>
      </w:r>
      <w:r>
        <w:rPr>
          <w:rFonts w:hint="eastAsia" w:ascii="Times New Roman" w:hAnsi="Times New Roman" w:eastAsia="方正仿宋_GBK" w:cs="Times New Roman"/>
          <w:sz w:val="31"/>
          <w:szCs w:val="31"/>
          <w:lang w:val="en-US" w:eastAsia="zh-CN"/>
        </w:rPr>
        <w:t>打造高标准优质基地，抓好布局、调优结构、提高技术水平。</w:t>
      </w:r>
      <w:bookmarkStart w:id="199" w:name="_Toc22809"/>
      <w:bookmarkStart w:id="200" w:name="_Toc3173"/>
      <w:bookmarkStart w:id="201" w:name="_Toc6172"/>
      <w:r>
        <w:rPr>
          <w:rFonts w:hint="eastAsia" w:ascii="Times New Roman" w:hAnsi="Times New Roman" w:eastAsia="方正仿宋_GBK" w:cs="Times New Roman"/>
          <w:sz w:val="31"/>
          <w:szCs w:val="31"/>
          <w:lang w:val="en-US" w:eastAsia="zh-CN"/>
        </w:rPr>
        <w:t>着眼产业链重构，推进上游和下游、农业和工业，商贸和流通的融合发展；下功夫培育龙头企业，打造一批带动力强、有市场竞争力、有品牌影响力的龙头企业；大力创新营销模式，采取线上线下、实体虚拟结合的办法，在国内主要消费城市建立一批体验店和专卖场，借助电商平台、网络直播等方式构建多渠道的营销网络体系。承办葡萄酒博览会、品鉴会，借助有影响力的国际赛事宣传推广，全方位提升品牌影响力，着力打造焉耆产区品牌、产品品牌，加大品牌宣传、市场推介力度，进一步提升焉耆葡萄酒品牌影响力；鼓励支持葡萄酒加工企业建设冷链物流、产品展销中心，带动发展集旅游观光、餐饮住宿、休闲娱乐等多种经营，积极拓展保健品、化妆品等延伸产品项目，逐步扩大产区品牌国内市场占有率的同时，走出国门，面向世界。“十四五”末，着重解决制约产业发展的问题，整合资源和品牌，做大做强焉耆葡萄酒产业，成为园区新的经济增长点。</w:t>
      </w:r>
    </w:p>
    <w:p>
      <w:pPr>
        <w:rPr>
          <w:rFonts w:hint="default"/>
          <w:lang w:val="en-US" w:eastAsia="zh-CN"/>
        </w:rPr>
      </w:pPr>
    </w:p>
    <w:tbl>
      <w:tblPr>
        <w:tblStyle w:val="15"/>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4"/>
        <w:gridCol w:w="6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60" w:type="dxa"/>
            <w:gridSpan w:val="2"/>
            <w:tcBorders>
              <w:top w:val="thinThickSmallGap" w:color="auto" w:sz="24" w:space="0"/>
              <w:left w:val="thinThickSmallGap" w:color="auto" w:sz="24" w:space="0"/>
              <w:bottom w:val="thinThickSmallGap" w:color="auto" w:sz="24" w:space="0"/>
              <w:right w:val="thinThickSmallGap" w:color="auto" w:sz="24" w:space="0"/>
            </w:tcBorders>
          </w:tcPr>
          <w:p>
            <w:pPr>
              <w:spacing w:after="0" w:line="240" w:lineRule="auto"/>
            </w:pPr>
            <w:r>
              <w:rPr>
                <w:rFonts w:hint="eastAsia" w:ascii="方正黑体_GBK" w:hAnsi="方正黑体_GBK" w:eastAsia="方正黑体_GBK" w:cs="方正黑体_GBK"/>
                <w:lang w:eastAsia="zh-CN"/>
              </w:rPr>
              <w:t>专栏：</w:t>
            </w:r>
            <w:r>
              <w:rPr>
                <w:rFonts w:hint="eastAsia" w:ascii="方正黑体_GBK" w:hAnsi="方正黑体_GBK" w:eastAsia="方正黑体_GBK" w:cs="方正黑体_GBK"/>
                <w:lang w:eastAsia="en-US"/>
              </w:rPr>
              <w:t>项目支撑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rPr>
                <w:sz w:val="20"/>
                <w:szCs w:val="20"/>
              </w:rPr>
            </w:pPr>
            <w:r>
              <w:rPr>
                <w:rFonts w:hint="eastAsia"/>
                <w:sz w:val="20"/>
                <w:szCs w:val="20"/>
              </w:rPr>
              <w:t>酿酒葡萄产业园低产酿酒葡萄改造项目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rPr>
                <w:sz w:val="20"/>
                <w:szCs w:val="20"/>
              </w:rPr>
            </w:pPr>
            <w:r>
              <w:rPr>
                <w:rFonts w:hint="eastAsia"/>
                <w:sz w:val="20"/>
                <w:szCs w:val="20"/>
              </w:rPr>
              <w:t>焉耆县现有酿酒葡萄3.5万亩，挂果面积3万亩，总产8000吨，平均亩产不到300公斤。目前均为低产葡萄园，通过低产葡萄园项目的引进，改造低产葡萄园20000亩，投入资金20000万元；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rPr>
                <w:sz w:val="20"/>
                <w:szCs w:val="20"/>
              </w:rPr>
            </w:pPr>
            <w:r>
              <w:rPr>
                <w:rFonts w:hint="eastAsia"/>
                <w:sz w:val="20"/>
                <w:szCs w:val="20"/>
              </w:rPr>
              <w:t>酿酒葡萄产业园酒庄建设项目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rPr>
                <w:sz w:val="20"/>
                <w:szCs w:val="20"/>
              </w:rPr>
            </w:pPr>
            <w:r>
              <w:rPr>
                <w:rFonts w:hint="eastAsia"/>
                <w:sz w:val="20"/>
                <w:szCs w:val="20"/>
              </w:rPr>
              <w:t>酒庄建设项目计划十四五期间新引进酒庄2—3个，投入资金3—5亿元。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rPr>
                <w:sz w:val="20"/>
                <w:szCs w:val="20"/>
              </w:rPr>
            </w:pPr>
            <w:r>
              <w:rPr>
                <w:rFonts w:hint="eastAsia"/>
                <w:sz w:val="20"/>
                <w:szCs w:val="20"/>
              </w:rPr>
              <w:t>酿酒葡萄产业园葡萄籽、皮深加工项目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rPr>
                <w:sz w:val="20"/>
                <w:szCs w:val="20"/>
              </w:rPr>
            </w:pPr>
            <w:r>
              <w:rPr>
                <w:rFonts w:hint="eastAsia"/>
                <w:sz w:val="20"/>
                <w:szCs w:val="20"/>
              </w:rPr>
              <w:t>引进葡萄籽、皮深加工项目1-2个，开发葡萄籽油、原花青素等葡萄下游精品延伸产业。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rPr>
                <w:sz w:val="20"/>
                <w:szCs w:val="20"/>
              </w:rPr>
            </w:pPr>
            <w:r>
              <w:rPr>
                <w:rFonts w:hint="eastAsia"/>
                <w:sz w:val="20"/>
                <w:szCs w:val="20"/>
              </w:rPr>
              <w:t>酿酒葡萄产业园葡萄酒酒泥保健品开发项目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rPr>
                <w:sz w:val="20"/>
                <w:szCs w:val="20"/>
              </w:rPr>
            </w:pPr>
            <w:r>
              <w:rPr>
                <w:rFonts w:hint="eastAsia"/>
                <w:sz w:val="20"/>
                <w:szCs w:val="20"/>
              </w:rPr>
              <w:t>引进葡萄酒酒泥保健品开发项目项目2-3个，开发葡萄酒酒泥保健品、化妆等高端产业。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rPr>
                <w:sz w:val="20"/>
                <w:szCs w:val="20"/>
              </w:rPr>
            </w:pPr>
            <w:r>
              <w:rPr>
                <w:rFonts w:hint="eastAsia"/>
                <w:sz w:val="20"/>
                <w:szCs w:val="20"/>
              </w:rPr>
              <w:t>酿酒葡萄产业园葡萄酒瓶、瓶塞加工项目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rPr>
                <w:sz w:val="20"/>
                <w:szCs w:val="20"/>
              </w:rPr>
            </w:pPr>
            <w:r>
              <w:rPr>
                <w:rFonts w:hint="eastAsia"/>
                <w:sz w:val="20"/>
                <w:szCs w:val="20"/>
              </w:rPr>
              <w:t>引进葡萄酒瓶、瓶塞加工项目1-2个，主要建设葡萄酒玻璃瓶、瓶塞（木塞、填充塞、聚合塞、合成塞）等生产项目。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rPr>
                <w:sz w:val="20"/>
                <w:szCs w:val="20"/>
              </w:rPr>
            </w:pPr>
            <w:r>
              <w:rPr>
                <w:rFonts w:hint="eastAsia"/>
                <w:sz w:val="20"/>
                <w:szCs w:val="20"/>
              </w:rPr>
              <w:t>酿酒葡萄产业园葡萄小镇综合旅游开发项目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rPr>
                <w:sz w:val="20"/>
                <w:szCs w:val="20"/>
              </w:rPr>
            </w:pPr>
            <w:r>
              <w:rPr>
                <w:rFonts w:hint="eastAsia"/>
                <w:sz w:val="20"/>
                <w:szCs w:val="20"/>
              </w:rPr>
              <w:t>依托现有的三大十二小酒庄酒堡，结合霍拉山景区旅游开发，整合旅游资源，打造一二三产</w:t>
            </w:r>
            <w:r>
              <w:rPr>
                <w:rFonts w:hint="eastAsia"/>
                <w:sz w:val="20"/>
                <w:szCs w:val="20"/>
                <w:lang w:val="en-US" w:eastAsia="zh-CN"/>
              </w:rPr>
              <w:t>业</w:t>
            </w:r>
            <w:r>
              <w:rPr>
                <w:rFonts w:hint="eastAsia"/>
                <w:sz w:val="20"/>
                <w:szCs w:val="20"/>
              </w:rPr>
              <w:t>融合发展</w:t>
            </w:r>
            <w:bookmarkStart w:id="469" w:name="_GoBack"/>
            <w:bookmarkEnd w:id="469"/>
            <w:r>
              <w:rPr>
                <w:rFonts w:hint="eastAsia"/>
                <w:sz w:val="20"/>
                <w:szCs w:val="20"/>
              </w:rPr>
              <w:t>特色小镇，建设种植、酿造、旅游、养生、餐饮、娱乐、商住、等多功能为一体的文化主题小镇。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rPr>
                <w:sz w:val="20"/>
                <w:szCs w:val="20"/>
              </w:rPr>
            </w:pPr>
            <w:r>
              <w:rPr>
                <w:rFonts w:hint="eastAsia"/>
                <w:sz w:val="20"/>
                <w:szCs w:val="20"/>
              </w:rPr>
              <w:t>酿酒葡萄产业园橡木桶生产项目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rPr>
                <w:sz w:val="20"/>
                <w:szCs w:val="20"/>
              </w:rPr>
            </w:pPr>
            <w:r>
              <w:rPr>
                <w:rFonts w:hint="eastAsia"/>
                <w:sz w:val="20"/>
                <w:szCs w:val="20"/>
              </w:rPr>
              <w:t>引进葡萄橡木桶项目1-2个，主要生产葡萄酒储存用各类橡木桶。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rPr>
                <w:sz w:val="20"/>
                <w:szCs w:val="20"/>
              </w:rPr>
            </w:pPr>
            <w:r>
              <w:rPr>
                <w:rFonts w:hint="eastAsia"/>
                <w:sz w:val="20"/>
                <w:szCs w:val="20"/>
              </w:rPr>
              <w:t>酿酒葡萄产业园农业机械化研发制造项目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rPr>
                <w:sz w:val="20"/>
                <w:szCs w:val="20"/>
              </w:rPr>
            </w:pPr>
            <w:r>
              <w:rPr>
                <w:rFonts w:hint="eastAsia"/>
                <w:sz w:val="20"/>
                <w:szCs w:val="20"/>
              </w:rPr>
              <w:t>引进农业机械化研发制造项目1-2个，结合本地实际，研发专门的农业机械改善目前产业机械化水平低现状。</w:t>
            </w:r>
          </w:p>
        </w:tc>
      </w:tr>
    </w:tbl>
    <w:p>
      <w:pPr>
        <w:rPr>
          <w:rFonts w:hint="default"/>
          <w:lang w:val="en-US" w:eastAsia="zh-CN"/>
        </w:rPr>
      </w:pPr>
      <w:bookmarkStart w:id="202" w:name="_Toc2269"/>
      <w:bookmarkStart w:id="203" w:name="_Toc10974"/>
      <w:bookmarkStart w:id="204" w:name="_Toc346"/>
      <w:bookmarkStart w:id="205" w:name="_Toc21901"/>
    </w:p>
    <w:p>
      <w:pPr>
        <w:pStyle w:val="7"/>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楷体_GBK" w:hAnsi="方正楷体_GBK" w:eastAsia="方正楷体_GBK" w:cs="方正楷体_GBK"/>
          <w:b w:val="0"/>
          <w:bCs/>
          <w:sz w:val="31"/>
          <w:szCs w:val="31"/>
          <w:lang w:val="en-US" w:eastAsia="zh-CN"/>
        </w:rPr>
      </w:pPr>
      <w:bookmarkStart w:id="206" w:name="_Toc19241"/>
      <w:r>
        <w:rPr>
          <w:rFonts w:hint="default" w:ascii="方正楷体_GBK" w:hAnsi="方正楷体_GBK" w:eastAsia="方正楷体_GBK" w:cs="方正楷体_GBK"/>
          <w:b w:val="0"/>
          <w:bCs/>
          <w:sz w:val="31"/>
          <w:szCs w:val="31"/>
          <w:lang w:val="en-US" w:eastAsia="zh-CN"/>
        </w:rPr>
        <w:t>第七节  加快商贸物流建设</w:t>
      </w:r>
      <w:bookmarkEnd w:id="199"/>
      <w:bookmarkEnd w:id="200"/>
      <w:bookmarkEnd w:id="201"/>
      <w:bookmarkEnd w:id="202"/>
      <w:bookmarkEnd w:id="203"/>
      <w:bookmarkEnd w:id="204"/>
      <w:bookmarkEnd w:id="205"/>
      <w:bookmarkEnd w:id="206"/>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rPr>
        <w:t>鼓励支持传统老商圈依托数字经济进行商业模式创新，促进线上线下互动，不断提升综合服务水平。以东城新区为载体，以七大专业市场、西游小镇等为支撑，积极拓展新商圈。立足区位交通优势，大力发展临铁经济，加快推进焉耆火车货运站搬迁、铁路专用线等项目，实现货物运输公铁联运。</w:t>
      </w:r>
      <w:r>
        <w:rPr>
          <w:rFonts w:hint="eastAsia" w:ascii="Times New Roman" w:hAnsi="Times New Roman" w:eastAsia="方正仿宋_GBK" w:cs="Times New Roman"/>
          <w:sz w:val="31"/>
          <w:szCs w:val="31"/>
          <w:lang w:val="en-US" w:eastAsia="zh-CN"/>
        </w:rPr>
        <w:t>“十四五”末</w:t>
      </w:r>
      <w:r>
        <w:rPr>
          <w:rFonts w:hint="default" w:ascii="Times New Roman" w:hAnsi="Times New Roman" w:eastAsia="方正仿宋_GBK" w:cs="Times New Roman"/>
          <w:sz w:val="31"/>
          <w:szCs w:val="31"/>
          <w:lang w:val="en-US" w:eastAsia="zh-CN"/>
        </w:rPr>
        <w:t>，基本建成区域性商贸物流基地，新建或改扩建各类商贸物流园区2个</w:t>
      </w:r>
      <w:r>
        <w:rPr>
          <w:rFonts w:hint="eastAsia" w:ascii="Times New Roman" w:hAnsi="Times New Roman" w:eastAsia="方正仿宋_GBK" w:cs="Times New Roman"/>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1"/>
          <w:szCs w:val="31"/>
          <w:lang w:val="en-US" w:eastAsia="zh-CN"/>
        </w:rPr>
      </w:pPr>
      <w:bookmarkStart w:id="207" w:name="_Toc8616"/>
      <w:bookmarkStart w:id="208" w:name="_Toc27283"/>
      <w:bookmarkStart w:id="209" w:name="_Toc16036"/>
      <w:r>
        <w:rPr>
          <w:rFonts w:hint="eastAsia" w:ascii="方正仿宋_GBK" w:hAnsi="方正仿宋_GBK" w:eastAsia="方正仿宋_GBK" w:cs="方正仿宋_GBK"/>
          <w:b/>
          <w:bCs w:val="0"/>
          <w:kern w:val="0"/>
          <w:sz w:val="32"/>
          <w:szCs w:val="32"/>
          <w:lang w:val="en-US" w:eastAsia="zh-CN"/>
        </w:rPr>
        <w:t>——</w:t>
      </w:r>
      <w:r>
        <w:rPr>
          <w:rFonts w:hint="eastAsia" w:ascii="方正仿宋_GBK" w:hAnsi="方正仿宋_GBK" w:eastAsia="方正仿宋_GBK" w:cs="方正仿宋_GBK"/>
          <w:b/>
          <w:bCs w:val="0"/>
          <w:sz w:val="31"/>
          <w:szCs w:val="31"/>
          <w:lang w:val="en-US" w:eastAsia="zh-CN"/>
        </w:rPr>
        <w:t>加快构建现代商贸物流业发展体系。</w:t>
      </w:r>
      <w:r>
        <w:rPr>
          <w:rFonts w:hint="default" w:ascii="Times New Roman" w:hAnsi="Times New Roman" w:eastAsia="方正仿宋_GBK" w:cs="Times New Roman"/>
          <w:sz w:val="31"/>
          <w:szCs w:val="31"/>
        </w:rPr>
        <w:t>积极贯彻新发展理念，</w:t>
      </w:r>
      <w:r>
        <w:rPr>
          <w:rFonts w:hint="default" w:ascii="Times New Roman" w:hAnsi="Times New Roman" w:eastAsia="方正仿宋_GBK" w:cs="Times New Roman"/>
          <w:sz w:val="31"/>
          <w:szCs w:val="31"/>
          <w:lang w:val="en-US" w:eastAsia="zh-CN"/>
        </w:rPr>
        <w:t>推动现代商贸物流业向特色化、区域化、品质化、专业化方向发展，现代物流、商贸商务等服务业优势更加突出。以现代物流、商贸商务等为支撑的现代商贸服务业体系初步形成，发展水平和质量明显提高。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1"/>
          <w:szCs w:val="31"/>
          <w:lang w:val="en-US" w:eastAsia="zh-CN"/>
        </w:rPr>
      </w:pPr>
      <w:r>
        <w:rPr>
          <w:rFonts w:hint="eastAsia" w:ascii="方正仿宋_GBK" w:hAnsi="方正仿宋_GBK" w:eastAsia="方正仿宋_GBK" w:cs="方正仿宋_GBK"/>
          <w:b/>
          <w:bCs w:val="0"/>
          <w:kern w:val="0"/>
          <w:sz w:val="32"/>
          <w:szCs w:val="32"/>
          <w:lang w:val="en-US" w:eastAsia="zh-CN"/>
        </w:rPr>
        <w:t>——完善现代商贸物流基础设施。</w:t>
      </w:r>
      <w:r>
        <w:rPr>
          <w:rFonts w:hint="default" w:ascii="Times New Roman" w:hAnsi="Times New Roman" w:eastAsia="方正仿宋_GBK" w:cs="Times New Roman"/>
          <w:sz w:val="31"/>
          <w:szCs w:val="31"/>
          <w:lang w:val="en-US" w:eastAsia="zh-CN"/>
        </w:rPr>
        <w:t>积极构建多层次商贸物流网络、健全商贸物流基础设施，重点打造东城商贸、宏福物流、集贸大世界、安达商圈等商贸物流集散中转中心。加快发展大型商业综合体、专业市场、电子商务等重点商业形态，以及商贸物流、城乡配送、金融物流、智慧物流，提升全县商贸物流发展水平。加快推进特色农产品集散中心、蔬菜储备基地、冷链物流基地、物流园、铁路专用线等大型商贸物流项目等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1"/>
          <w:szCs w:val="31"/>
        </w:rPr>
      </w:pPr>
      <w:r>
        <w:rPr>
          <w:rFonts w:hint="eastAsia" w:ascii="方正仿宋_GBK" w:hAnsi="方正仿宋_GBK" w:eastAsia="方正仿宋_GBK" w:cs="方正仿宋_GBK"/>
          <w:b/>
          <w:bCs w:val="0"/>
          <w:kern w:val="0"/>
          <w:sz w:val="32"/>
          <w:szCs w:val="32"/>
          <w:lang w:val="en-US" w:eastAsia="zh-CN"/>
        </w:rPr>
        <w:t>——</w:t>
      </w:r>
      <w:r>
        <w:rPr>
          <w:rFonts w:hint="default" w:ascii="方正仿宋_GBK" w:hAnsi="方正仿宋_GBK" w:eastAsia="方正仿宋_GBK" w:cs="方正仿宋_GBK"/>
          <w:b/>
          <w:bCs w:val="0"/>
          <w:kern w:val="0"/>
          <w:sz w:val="32"/>
          <w:szCs w:val="32"/>
          <w:lang w:val="en-US" w:eastAsia="zh-CN"/>
        </w:rPr>
        <w:t>提升</w:t>
      </w:r>
      <w:r>
        <w:rPr>
          <w:rFonts w:hint="eastAsia" w:ascii="方正仿宋_GBK" w:hAnsi="方正仿宋_GBK" w:eastAsia="方正仿宋_GBK" w:cs="方正仿宋_GBK"/>
          <w:b/>
          <w:bCs w:val="0"/>
          <w:kern w:val="0"/>
          <w:sz w:val="32"/>
          <w:szCs w:val="32"/>
          <w:lang w:val="en-US" w:eastAsia="zh-CN"/>
        </w:rPr>
        <w:t>现代商贸物流</w:t>
      </w:r>
      <w:r>
        <w:rPr>
          <w:rFonts w:hint="default" w:ascii="方正仿宋_GBK" w:hAnsi="方正仿宋_GBK" w:eastAsia="方正仿宋_GBK" w:cs="方正仿宋_GBK"/>
          <w:b/>
          <w:bCs w:val="0"/>
          <w:kern w:val="0"/>
          <w:sz w:val="32"/>
          <w:szCs w:val="32"/>
          <w:lang w:val="en-US" w:eastAsia="zh-CN"/>
        </w:rPr>
        <w:t>应用水平。</w:t>
      </w:r>
      <w:r>
        <w:rPr>
          <w:rFonts w:hint="default" w:ascii="Times New Roman" w:hAnsi="Times New Roman" w:eastAsia="方正仿宋_GBK" w:cs="Times New Roman"/>
          <w:sz w:val="31"/>
          <w:szCs w:val="31"/>
        </w:rPr>
        <w:t>鼓励电商、物流、商贸、金融、供销、邮政、快递等各类社会资源加强合作，大力推动电子商务进企业、进市场、进商场、进社区、进农村。支持企业、商户各类经营主体积极探索采取多种网络营销方式，实现产供销一体化发展。支持百货、超市、便利店等开展网络订购、城市配送于一体的同城购物网络平台。推动互联网与农业农村融合发展，推进农产品网上交易，逐步构建工业消费品、生产资料下乡和特色农产品进城的双向流通市场体系。支持家政、教育、医疗、咨询、广告、餐饮、娱乐等服务业</w:t>
      </w:r>
      <w:r>
        <w:rPr>
          <w:rFonts w:hint="default" w:ascii="Times New Roman" w:hAnsi="Times New Roman" w:eastAsia="方正仿宋_GBK" w:cs="Times New Roman"/>
          <w:sz w:val="31"/>
          <w:szCs w:val="31"/>
          <w:lang w:val="en-US" w:eastAsia="zh-CN"/>
        </w:rPr>
        <w:t>深化</w:t>
      </w:r>
      <w:r>
        <w:rPr>
          <w:rFonts w:hint="default" w:ascii="Times New Roman" w:hAnsi="Times New Roman" w:eastAsia="方正仿宋_GBK" w:cs="Times New Roman"/>
          <w:sz w:val="31"/>
          <w:szCs w:val="31"/>
        </w:rPr>
        <w:t>电子商务应用，推动旅游在线服务模式创新，支持跨境电子商务健康发展。</w:t>
      </w:r>
    </w:p>
    <w:p>
      <w:pPr>
        <w:spacing w:line="600" w:lineRule="exact"/>
        <w:ind w:firstLine="620" w:firstLineChars="200"/>
        <w:rPr>
          <w:rFonts w:hint="default" w:ascii="Times New Roman" w:hAnsi="Times New Roman" w:eastAsia="方正仿宋_GBK" w:cs="Times New Roman"/>
          <w:sz w:val="31"/>
          <w:szCs w:val="31"/>
        </w:rPr>
      </w:pPr>
    </w:p>
    <w:tbl>
      <w:tblPr>
        <w:tblStyle w:val="15"/>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4"/>
        <w:gridCol w:w="6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660" w:type="dxa"/>
            <w:gridSpan w:val="2"/>
            <w:tcBorders>
              <w:top w:val="thinThickSmallGap" w:color="auto" w:sz="24" w:space="0"/>
              <w:left w:val="thinThickSmallGap" w:color="auto" w:sz="24" w:space="0"/>
              <w:bottom w:val="thinThickSmallGap" w:color="auto" w:sz="24" w:space="0"/>
              <w:right w:val="thinThickSmallGap" w:color="auto" w:sz="24" w:space="0"/>
            </w:tcBorders>
            <w:vAlign w:val="top"/>
          </w:tcPr>
          <w:p>
            <w:pPr>
              <w:spacing w:after="0" w:line="240" w:lineRule="auto"/>
              <w:rPr>
                <w:rFonts w:hint="default"/>
              </w:rPr>
            </w:pPr>
            <w:r>
              <w:rPr>
                <w:rFonts w:hint="eastAsia" w:ascii="方正黑体_GBK" w:hAnsi="方正黑体_GBK" w:eastAsia="方正黑体_GBK" w:cs="方正黑体_GBK"/>
                <w:lang w:eastAsia="zh-CN"/>
              </w:rPr>
              <w:t>专栏：项目支撑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rPr>
                <w:rFonts w:hint="default"/>
              </w:rPr>
            </w:pPr>
            <w:r>
              <w:rPr>
                <w:rFonts w:hint="default"/>
              </w:rPr>
              <w:t>焉耆县农村市场体系建设项目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rPr>
                <w:rFonts w:hint="default"/>
                <w:lang w:eastAsia="zh-CN"/>
              </w:rPr>
            </w:pPr>
            <w:r>
              <w:rPr>
                <w:rFonts w:hint="default"/>
                <w:lang w:val="en-US" w:eastAsia="zh-CN"/>
              </w:rPr>
              <w:t>结合乡村振兴战略，在10个乡镇场建设特色农村商贸市场，形成有效辐射农村的农副产品、小百货、旅游产品集散、交易市场。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rPr>
                <w:rFonts w:hint="eastAsia"/>
                <w:lang w:eastAsia="zh-CN"/>
              </w:rPr>
            </w:pPr>
            <w:r>
              <w:rPr>
                <w:rFonts w:hint="eastAsia"/>
                <w:lang w:eastAsia="zh-CN"/>
              </w:rPr>
              <w:t>焉耆县</w:t>
            </w:r>
            <w:r>
              <w:rPr>
                <w:rFonts w:hint="default"/>
              </w:rPr>
              <w:t>南疆城乡冷链物流基地建设项目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rPr>
                <w:rFonts w:hint="default"/>
                <w:lang w:val="en-US" w:eastAsia="zh-CN"/>
              </w:rPr>
            </w:pPr>
            <w:r>
              <w:rPr>
                <w:rFonts w:hint="default"/>
                <w:lang w:val="en-US" w:eastAsia="zh-CN"/>
              </w:rPr>
              <w:t>占地200亩。新建农副特产、生鲜冷藏仓储区、综合信息服务区、加工包装区、散货堆场等4个功能区为主的现代化大型仓储物流项目，成为焉耆县商贸物流中心配套基地，解决入驻农产品生产加工企业、商户后顾之忧，给入驻商户及企业带来更大便利，建成焉耆盆地乃至巴州最具竞争力的商贸冷链物流中心、农副产品加工中心和电子商务产业集散地。其内含新建保鲜车间，采购低温保鲜运输车辆及配套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rPr>
                <w:rFonts w:hint="default"/>
                <w:lang w:val="en-US" w:eastAsia="zh-CN"/>
              </w:rPr>
            </w:pPr>
            <w:r>
              <w:rPr>
                <w:rFonts w:hint="default"/>
              </w:rPr>
              <w:t>新疆焉耆盆地辣椒交易中心项目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rPr>
                <w:rFonts w:hint="default"/>
                <w:lang w:val="en-US" w:eastAsia="zh-CN"/>
              </w:rPr>
            </w:pPr>
            <w:r>
              <w:rPr>
                <w:rFonts w:hint="default"/>
                <w:lang w:val="en-US" w:eastAsia="zh-CN"/>
              </w:rPr>
              <w:t>建设新疆辣椒交易中心、信息中心、大数据平台、物流中心、标准化包装车间、仓储配送区域。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tbl>
            <w:tblPr>
              <w:tblStyle w:val="14"/>
              <w:tblW w:w="2278" w:type="dxa"/>
              <w:tblInd w:w="-105" w:type="dxa"/>
              <w:shd w:val="clear" w:color="auto" w:fill="auto"/>
              <w:tblLayout w:type="fixed"/>
              <w:tblCellMar>
                <w:top w:w="0" w:type="dxa"/>
                <w:left w:w="0" w:type="dxa"/>
                <w:bottom w:w="0" w:type="dxa"/>
                <w:right w:w="0" w:type="dxa"/>
              </w:tblCellMar>
            </w:tblPr>
            <w:tblGrid>
              <w:gridCol w:w="2278"/>
            </w:tblGrid>
            <w:tr>
              <w:tblPrEx>
                <w:shd w:val="clear" w:color="auto" w:fill="auto"/>
                <w:tblCellMar>
                  <w:top w:w="0" w:type="dxa"/>
                  <w:left w:w="0" w:type="dxa"/>
                  <w:bottom w:w="0" w:type="dxa"/>
                  <w:right w:w="0" w:type="dxa"/>
                </w:tblCellMar>
              </w:tblPrEx>
              <w:trPr>
                <w:trHeight w:val="750" w:hRule="atLeast"/>
              </w:trPr>
              <w:tc>
                <w:tcPr>
                  <w:tcW w:w="2278" w:type="dxa"/>
                  <w:tcBorders>
                    <w:bottom w:val="single" w:color="DEDEDE" w:sz="6" w:space="0"/>
                    <w:right w:val="single" w:color="DEDEDE" w:sz="6" w:space="0"/>
                  </w:tcBorders>
                  <w:shd w:val="clear" w:color="auto" w:fill="auto"/>
                  <w:tcMar>
                    <w:left w:w="105" w:type="dxa"/>
                    <w:bottom w:w="45" w:type="dxa"/>
                  </w:tcMar>
                  <w:vAlign w:val="center"/>
                </w:tcPr>
                <w:p>
                  <w:pPr>
                    <w:rPr>
                      <w:rFonts w:hint="default"/>
                    </w:rPr>
                  </w:pPr>
                  <w:r>
                    <w:rPr>
                      <w:rFonts w:hint="default"/>
                      <w:lang w:val="en-US" w:eastAsia="zh-CN"/>
                    </w:rPr>
                    <w:br w:type="textWrapping"/>
                  </w:r>
                  <w:r>
                    <w:rPr>
                      <w:rFonts w:hint="default"/>
                      <w:lang w:val="en-US" w:eastAsia="zh-CN"/>
                    </w:rPr>
                    <w:t>焉耆县物联网公共服务平台建设项目</w:t>
                  </w:r>
                </w:p>
              </w:tc>
            </w:tr>
          </w:tbl>
          <w:p>
            <w:pPr>
              <w:spacing w:after="0" w:line="240" w:lineRule="auto"/>
              <w:rPr>
                <w:rFonts w:hint="default"/>
              </w:rPr>
            </w:pP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rPr>
                <w:rFonts w:hint="default"/>
                <w:lang w:val="en-US" w:eastAsia="zh-CN"/>
              </w:rPr>
            </w:pPr>
            <w:r>
              <w:rPr>
                <w:rFonts w:hint="default"/>
                <w:lang w:val="en-US" w:eastAsia="zh-CN"/>
              </w:rPr>
              <w:t>新建物联网公共服务平台1个，多钱打造“智能数字化+”服务体系150点位；新建电商智能平台1个、仓储物流、分拣包装设备4个、智能支付平台1个及在仓储区购置安装货架，配套相关附属设施，中心内配套一条智能配送信息系统，建设停车场场地5000平方米，配套智能配送信息系统及相关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rPr>
                <w:rFonts w:hint="default"/>
                <w:lang w:val="en-US" w:eastAsia="zh-CN"/>
              </w:rPr>
            </w:pPr>
            <w:r>
              <w:rPr>
                <w:rFonts w:hint="default"/>
                <w:lang w:val="en-US" w:eastAsia="zh-CN"/>
              </w:rPr>
              <w:t>河北巴州生态产业园农产品冷链物流基础设施及配套附属设施建设项目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rPr>
                <w:rFonts w:hint="default"/>
                <w:lang w:val="en-US" w:eastAsia="zh-CN"/>
              </w:rPr>
            </w:pPr>
            <w:r>
              <w:rPr>
                <w:rFonts w:hint="default"/>
                <w:lang w:val="en-US" w:eastAsia="zh-CN"/>
              </w:rPr>
              <w:t>新建冷链仓储设施50000平方米。仓储10栋，仓容5000吨，配套制冷设施设备，智能化温控信息系统，仓储标准化货架160个，标准化托盘400个，叉车16辆，购置分拣包装设备30个以及建设1个冷链物流信息平台，配套建设2个生鲜食品低温中心。</w:t>
            </w:r>
          </w:p>
        </w:tc>
      </w:tr>
    </w:tbl>
    <w:p>
      <w:pPr>
        <w:rPr>
          <w:rFonts w:hint="default"/>
        </w:rPr>
      </w:pPr>
    </w:p>
    <w:p>
      <w:pPr>
        <w:pStyle w:val="7"/>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楷体_GBK" w:hAnsi="方正楷体_GBK" w:eastAsia="方正楷体_GBK" w:cs="方正楷体_GBK"/>
          <w:b w:val="0"/>
          <w:bCs/>
          <w:sz w:val="31"/>
          <w:szCs w:val="31"/>
          <w:lang w:val="en-US" w:eastAsia="zh-CN"/>
        </w:rPr>
      </w:pPr>
      <w:bookmarkStart w:id="210" w:name="_Toc2795"/>
      <w:bookmarkStart w:id="211" w:name="_Toc31108"/>
      <w:bookmarkStart w:id="212" w:name="_Toc27164"/>
      <w:bookmarkStart w:id="213" w:name="_Toc24125"/>
      <w:bookmarkStart w:id="214" w:name="_Toc9852"/>
      <w:r>
        <w:rPr>
          <w:rFonts w:hint="default" w:ascii="方正楷体_GBK" w:hAnsi="方正楷体_GBK" w:eastAsia="方正楷体_GBK" w:cs="方正楷体_GBK"/>
          <w:b w:val="0"/>
          <w:bCs/>
          <w:sz w:val="31"/>
          <w:szCs w:val="31"/>
          <w:lang w:val="en-US" w:eastAsia="zh-CN"/>
        </w:rPr>
        <w:t>第八节  加快实施医疗康养服务</w:t>
      </w:r>
      <w:bookmarkEnd w:id="207"/>
      <w:bookmarkEnd w:id="208"/>
      <w:bookmarkEnd w:id="209"/>
      <w:bookmarkEnd w:id="210"/>
      <w:bookmarkEnd w:id="211"/>
      <w:bookmarkEnd w:id="212"/>
      <w:bookmarkEnd w:id="213"/>
      <w:bookmarkEnd w:id="214"/>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eastAsia"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rPr>
        <w:t>以全疆医共体建设试点县为抓手，优化县乡村三级医疗卫生资源配置，不断深化综合医改，进一步完善分级诊疗制度，促进优质医疗资源向基层延伸。加强中西医结合，促进中医药发展。加快县级公立医院和县域医共体建设步伐，进一步规范医疗联合体建设和发展，推进重大疾病和短缺医疗资源专科联盟建设，加强远程医疗协作，鼓励社会办医疗机构及妇幼、康复、护理等机构参与医疗联合体建设，增加医疗服务有效供给，扩大优质医疗资源辐射面。多种形式推进医疗卫生与养老服务相结合，推动智慧养老等新模式新业态发展，鼓励和支持社会力量在社区提供日间照料、医疗和康复护理、助餐助行等养老服务。</w:t>
      </w: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十四五”末，县域内就诊率达到90%以上，乡镇卫生院、村卫生室门急诊人次占全县门急诊人次65%，县人民医院危急重症救治成功率达到90%以上。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jc w:val="both"/>
        <w:textAlignment w:val="auto"/>
        <w:outlineLvl w:val="9"/>
        <w:rPr>
          <w:rFonts w:hint="eastAsia" w:ascii="Times New Roman" w:hAnsi="Times New Roman" w:eastAsia="方正仿宋_GBK" w:cs="Times New Roman"/>
          <w:sz w:val="31"/>
          <w:szCs w:val="31"/>
          <w:lang w:eastAsia="zh-CN"/>
        </w:rPr>
      </w:pPr>
      <w:r>
        <w:rPr>
          <w:rFonts w:hint="eastAsia" w:ascii="Times New Roman" w:hAnsi="Times New Roman" w:eastAsia="方正仿宋_GBK" w:cs="Times New Roman"/>
          <w:b/>
          <w:bCs/>
          <w:sz w:val="31"/>
          <w:szCs w:val="31"/>
          <w:lang w:val="en-US" w:eastAsia="zh-CN"/>
        </w:rPr>
        <w:t>——</w:t>
      </w:r>
      <w:r>
        <w:rPr>
          <w:rFonts w:hint="eastAsia" w:ascii="Times New Roman" w:hAnsi="Times New Roman" w:eastAsia="方正仿宋_GBK" w:cs="Times New Roman"/>
          <w:b/>
          <w:bCs/>
          <w:sz w:val="31"/>
          <w:szCs w:val="31"/>
          <w:lang w:eastAsia="zh-CN"/>
        </w:rPr>
        <w:t>不断提升医疗服务能力体系。</w:t>
      </w:r>
      <w:r>
        <w:rPr>
          <w:rFonts w:hint="eastAsia" w:ascii="Times New Roman" w:hAnsi="Times New Roman" w:eastAsia="方正仿宋_GBK" w:cs="Times New Roman"/>
          <w:sz w:val="31"/>
          <w:szCs w:val="31"/>
        </w:rPr>
        <w:t>不断优化县域医疗资源结构和布局，县域医疗资源利用效率和整体效益提升，各级各类医疗卫生机构按功能定位健康科学发展</w:t>
      </w: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rPr>
        <w:t>推进和规范医师多点执业，提升家庭医生（团队）签约服务能力，为居民提供一体化、连续性的健康管理和基本医疗服务，“基层首诊、双向转诊、急慢分治、上下联动”的分级诊疗制度完善，科学合理的就医秩序逐步形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jc w:val="both"/>
        <w:textAlignment w:val="auto"/>
        <w:outlineLvl w:val="9"/>
        <w:rPr>
          <w:rFonts w:hint="eastAsia" w:ascii="Times New Roman" w:hAnsi="Times New Roman" w:eastAsia="方正仿宋_GBK" w:cs="Times New Roman"/>
          <w:spacing w:val="-11"/>
          <w:sz w:val="31"/>
          <w:szCs w:val="31"/>
          <w:lang w:val="en-US" w:eastAsia="zh-CN"/>
        </w:rPr>
      </w:pPr>
      <w:r>
        <w:rPr>
          <w:rFonts w:hint="eastAsia" w:ascii="Times New Roman" w:hAnsi="Times New Roman" w:eastAsia="方正仿宋_GBK" w:cs="Times New Roman"/>
          <w:b/>
          <w:bCs/>
          <w:sz w:val="31"/>
          <w:szCs w:val="31"/>
          <w:lang w:val="en-US" w:eastAsia="zh-CN"/>
        </w:rPr>
        <w:t>——深入推进医疗服务共同体建设。</w:t>
      </w:r>
      <w:r>
        <w:rPr>
          <w:rFonts w:hint="eastAsia" w:ascii="Times New Roman" w:hAnsi="Times New Roman" w:eastAsia="方正仿宋_GBK" w:cs="Times New Roman"/>
          <w:sz w:val="31"/>
          <w:szCs w:val="31"/>
        </w:rPr>
        <w:t>“权责清晰、管理科学、治理完善、运行高效、监督有力”的现代医院管理制度逐步完善，</w:t>
      </w:r>
      <w:r>
        <w:rPr>
          <w:rFonts w:hint="eastAsia" w:ascii="Times New Roman" w:hAnsi="Times New Roman" w:eastAsia="方正仿宋_GBK" w:cs="Times New Roman"/>
          <w:sz w:val="31"/>
          <w:szCs w:val="31"/>
          <w:lang w:val="en-US" w:eastAsia="zh-CN"/>
        </w:rPr>
        <w:t>与疆内外三甲医院技术协作进一步推进，</w:t>
      </w:r>
      <w:r>
        <w:rPr>
          <w:rFonts w:hint="eastAsia" w:ascii="Times New Roman" w:hAnsi="Times New Roman" w:eastAsia="方正仿宋_GBK" w:cs="Times New Roman"/>
          <w:sz w:val="31"/>
          <w:szCs w:val="31"/>
        </w:rPr>
        <w:t>医疗质量和医疗安全不断提升。以强基层为重点，促进医疗卫生工作重心下移、资源下沉</w:t>
      </w: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rPr>
        <w:t>提升乡镇卫生院急诊抢救、二级以下常规手术、正常分娩、高危孕产妇筛查、儿科等医疗服务能力。</w:t>
      </w:r>
      <w:r>
        <w:rPr>
          <w:rFonts w:hint="eastAsia" w:ascii="Times New Roman" w:hAnsi="Times New Roman" w:eastAsia="方正仿宋_GBK" w:cs="Times New Roman"/>
          <w:sz w:val="31"/>
          <w:szCs w:val="31"/>
          <w:lang w:val="en-US" w:eastAsia="zh-CN"/>
        </w:rPr>
        <w:t>大力推进中医院项目建设，</w:t>
      </w:r>
      <w:r>
        <w:rPr>
          <w:rFonts w:hint="eastAsia" w:ascii="Times New Roman" w:hAnsi="Times New Roman" w:eastAsia="方正仿宋_GBK" w:cs="Times New Roman"/>
          <w:sz w:val="31"/>
          <w:szCs w:val="31"/>
        </w:rPr>
        <w:t>实施中医药传承创新工程，发挥中医药在健康养生、治未病中的主导作用，</w:t>
      </w:r>
      <w:r>
        <w:rPr>
          <w:rFonts w:hint="eastAsia" w:ascii="Times New Roman" w:hAnsi="Times New Roman" w:eastAsia="方正仿宋_GBK" w:cs="Times New Roman"/>
          <w:sz w:val="31"/>
          <w:szCs w:val="31"/>
          <w:lang w:val="en-US" w:eastAsia="zh-CN"/>
        </w:rPr>
        <w:t>构建医防融合医疗康养体系</w:t>
      </w: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完成创伤、肿瘤治疗、危重新生儿救治、危重孕产妇救治、医养结合中心建设。以儿童康复为</w:t>
      </w:r>
      <w:r>
        <w:rPr>
          <w:rFonts w:hint="eastAsia" w:ascii="Times New Roman" w:hAnsi="Times New Roman" w:eastAsia="方正仿宋_GBK" w:cs="Times New Roman"/>
          <w:spacing w:val="-11"/>
          <w:sz w:val="31"/>
          <w:szCs w:val="31"/>
          <w:lang w:val="en-US" w:eastAsia="zh-CN"/>
        </w:rPr>
        <w:t>主导，开设儿童发育测评等特色门诊，打造焉耆盆地儿童保健中心。</w:t>
      </w:r>
    </w:p>
    <w:p>
      <w:pPr>
        <w:rPr>
          <w:rFonts w:hint="eastAsia"/>
          <w:lang w:val="en-US" w:eastAsia="zh-CN"/>
        </w:rPr>
      </w:pPr>
    </w:p>
    <w:tbl>
      <w:tblPr>
        <w:tblStyle w:val="15"/>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1"/>
        <w:gridCol w:w="5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820" w:type="dxa"/>
            <w:gridSpan w:val="2"/>
            <w:tcBorders>
              <w:top w:val="thinThickSmallGap" w:color="auto" w:sz="24" w:space="0"/>
              <w:left w:val="thinThickSmallGap" w:color="auto" w:sz="24" w:space="0"/>
              <w:bottom w:val="thinThickSmallGap" w:color="auto" w:sz="24" w:space="0"/>
              <w:right w:val="thinThickSmallGap" w:color="auto" w:sz="24" w:space="0"/>
            </w:tcBorders>
            <w:vAlign w:val="top"/>
          </w:tcPr>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jc w:val="both"/>
              <w:textAlignment w:val="auto"/>
              <w:outlineLvl w:val="9"/>
              <w:rPr>
                <w:rFonts w:hint="eastAsia" w:ascii="仿宋" w:hAnsi="仿宋" w:eastAsia="仿宋" w:cs="仿宋"/>
                <w:sz w:val="32"/>
                <w:szCs w:val="32"/>
                <w:vertAlign w:val="baseline"/>
                <w:lang w:val="en-US" w:eastAsia="en-US"/>
              </w:rPr>
            </w:pPr>
            <w:r>
              <w:rPr>
                <w:rFonts w:hint="eastAsia" w:ascii="方正黑体_GBK" w:hAnsi="方正黑体_GBK" w:eastAsia="方正黑体_GBK" w:cs="方正黑体_GBK"/>
                <w:sz w:val="24"/>
                <w:szCs w:val="24"/>
                <w:vertAlign w:val="baseline"/>
                <w:lang w:val="en-US" w:eastAsia="zh-CN"/>
              </w:rPr>
              <w:t>专栏：</w:t>
            </w:r>
            <w:r>
              <w:rPr>
                <w:rFonts w:hint="eastAsia" w:ascii="方正黑体_GBK" w:hAnsi="方正黑体_GBK" w:eastAsia="方正黑体_GBK" w:cs="方正黑体_GBK"/>
                <w:sz w:val="24"/>
                <w:szCs w:val="24"/>
                <w:vertAlign w:val="baseline"/>
                <w:lang w:val="en-US" w:eastAsia="en-US"/>
              </w:rPr>
              <w:t>项目支撑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001"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val="0"/>
              <w:kinsoku/>
              <w:wordWrap/>
              <w:overflowPunct/>
              <w:topLinePunct w:val="0"/>
              <w:autoSpaceDE/>
              <w:autoSpaceDN/>
              <w:bidi w:val="0"/>
              <w:adjustRightInd w:val="0"/>
              <w:snapToGrid/>
              <w:spacing w:after="0"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2"/>
                <w:szCs w:val="22"/>
                <w:vertAlign w:val="baseline"/>
                <w:lang w:val="en-US" w:eastAsia="en-US"/>
              </w:rPr>
            </w:pPr>
            <w:r>
              <w:rPr>
                <w:rFonts w:hint="eastAsia" w:asciiTheme="minorEastAsia" w:hAnsiTheme="minorEastAsia" w:eastAsiaTheme="minorEastAsia" w:cstheme="minorEastAsia"/>
                <w:b w:val="0"/>
                <w:bCs w:val="0"/>
                <w:kern w:val="2"/>
                <w:sz w:val="22"/>
                <w:szCs w:val="22"/>
                <w:lang w:val="en-US" w:eastAsia="zh-CN" w:bidi="ar-SA"/>
              </w:rPr>
              <w:t>焉耆县医共体总院医养康复中心建设项目</w:t>
            </w:r>
          </w:p>
        </w:tc>
        <w:tc>
          <w:tcPr>
            <w:tcW w:w="5819"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val="0"/>
              <w:kinsoku/>
              <w:wordWrap/>
              <w:overflowPunct/>
              <w:topLinePunct w:val="0"/>
              <w:autoSpaceDE/>
              <w:autoSpaceDN/>
              <w:bidi w:val="0"/>
              <w:adjustRightInd w:val="0"/>
              <w:snapToGrid/>
              <w:spacing w:after="0"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新建焉耆县医共体总院医养康复中心及相关配套附属工程，总建筑面积15000平方米</w:t>
            </w:r>
            <w:r>
              <w:rPr>
                <w:rFonts w:hint="eastAsia" w:asciiTheme="minorEastAsia" w:hAnsiTheme="minorEastAsia" w:cstheme="minorEastAsia"/>
                <w:b w:val="0"/>
                <w:bCs w:val="0"/>
                <w:kern w:val="2"/>
                <w:sz w:val="22"/>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001"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val="0"/>
              <w:kinsoku/>
              <w:wordWrap/>
              <w:overflowPunct/>
              <w:topLinePunct w:val="0"/>
              <w:autoSpaceDE/>
              <w:autoSpaceDN/>
              <w:bidi w:val="0"/>
              <w:adjustRightInd w:val="0"/>
              <w:snapToGrid/>
              <w:spacing w:after="0"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焉耆县中医医院综合楼及附属工程建设项目</w:t>
            </w:r>
          </w:p>
        </w:tc>
        <w:tc>
          <w:tcPr>
            <w:tcW w:w="5819"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val="0"/>
              <w:kinsoku/>
              <w:wordWrap/>
              <w:overflowPunct/>
              <w:topLinePunct w:val="0"/>
              <w:autoSpaceDE/>
              <w:autoSpaceDN/>
              <w:bidi w:val="0"/>
              <w:adjustRightInd w:val="0"/>
              <w:snapToGrid/>
              <w:spacing w:after="0"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新建焉耆县中医医院综合楼8217平方米，附属工程包含外围管网、高低压配电室。消防水池、泵房。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01"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val="0"/>
              <w:kinsoku/>
              <w:wordWrap/>
              <w:overflowPunct/>
              <w:topLinePunct w:val="0"/>
              <w:autoSpaceDE/>
              <w:autoSpaceDN/>
              <w:bidi w:val="0"/>
              <w:adjustRightInd w:val="0"/>
              <w:snapToGrid/>
              <w:spacing w:after="0"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2"/>
                <w:szCs w:val="22"/>
                <w:vertAlign w:val="baseline"/>
                <w:lang w:val="en-US" w:eastAsia="en-US"/>
              </w:rPr>
            </w:pPr>
            <w:r>
              <w:rPr>
                <w:rFonts w:hint="eastAsia" w:asciiTheme="minorEastAsia" w:hAnsiTheme="minorEastAsia" w:eastAsiaTheme="minorEastAsia" w:cstheme="minorEastAsia"/>
                <w:b w:val="0"/>
                <w:bCs w:val="0"/>
                <w:kern w:val="2"/>
                <w:sz w:val="22"/>
                <w:szCs w:val="22"/>
                <w:lang w:val="en-US" w:eastAsia="zh-CN" w:bidi="ar-SA"/>
              </w:rPr>
              <w:t>焉耆县妇女儿童健康服务能力建设项目</w:t>
            </w:r>
          </w:p>
        </w:tc>
        <w:tc>
          <w:tcPr>
            <w:tcW w:w="5819"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val="0"/>
              <w:kinsoku/>
              <w:wordWrap/>
              <w:overflowPunct/>
              <w:topLinePunct w:val="0"/>
              <w:autoSpaceDE/>
              <w:autoSpaceDN/>
              <w:bidi w:val="0"/>
              <w:adjustRightInd w:val="0"/>
              <w:snapToGrid/>
              <w:spacing w:after="0"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建设</w:t>
            </w:r>
            <w:r>
              <w:rPr>
                <w:rFonts w:hint="eastAsia" w:asciiTheme="minorEastAsia" w:hAnsiTheme="minorEastAsia" w:cstheme="minorEastAsia"/>
                <w:b w:val="0"/>
                <w:bCs w:val="0"/>
                <w:kern w:val="2"/>
                <w:sz w:val="22"/>
                <w:szCs w:val="22"/>
                <w:lang w:val="en-US" w:eastAsia="zh-CN" w:bidi="ar-SA"/>
              </w:rPr>
              <w:t>面积</w:t>
            </w:r>
            <w:r>
              <w:rPr>
                <w:rFonts w:hint="eastAsia" w:asciiTheme="minorEastAsia" w:hAnsiTheme="minorEastAsia" w:eastAsiaTheme="minorEastAsia" w:cstheme="minorEastAsia"/>
                <w:b w:val="0"/>
                <w:bCs w:val="0"/>
                <w:kern w:val="2"/>
                <w:sz w:val="22"/>
                <w:szCs w:val="22"/>
                <w:lang w:val="en-US" w:eastAsia="zh-CN" w:bidi="ar-SA"/>
              </w:rPr>
              <w:t>3200平方米，孕产妇、新生儿救治、区域内供应、脑瘫康复训练中心。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0" w:hRule="atLeast"/>
        </w:trPr>
        <w:tc>
          <w:tcPr>
            <w:tcW w:w="3001"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val="0"/>
              <w:kinsoku/>
              <w:wordWrap/>
              <w:overflowPunct/>
              <w:topLinePunct w:val="0"/>
              <w:autoSpaceDE/>
              <w:autoSpaceDN/>
              <w:bidi w:val="0"/>
              <w:adjustRightInd w:val="0"/>
              <w:snapToGrid/>
              <w:spacing w:after="0"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2"/>
                <w:szCs w:val="22"/>
                <w:vertAlign w:val="baseline"/>
                <w:lang w:val="en-US" w:eastAsia="en-US"/>
              </w:rPr>
            </w:pPr>
            <w:r>
              <w:rPr>
                <w:rFonts w:hint="eastAsia" w:asciiTheme="minorEastAsia" w:hAnsiTheme="minorEastAsia" w:eastAsiaTheme="minorEastAsia" w:cstheme="minorEastAsia"/>
                <w:b w:val="0"/>
                <w:bCs w:val="0"/>
                <w:kern w:val="2"/>
                <w:sz w:val="22"/>
                <w:szCs w:val="22"/>
                <w:lang w:val="en-US" w:eastAsia="zh-CN" w:bidi="ar-SA"/>
              </w:rPr>
              <w:t>焉耆县城乡医疗体系信息化建设项目</w:t>
            </w:r>
          </w:p>
        </w:tc>
        <w:tc>
          <w:tcPr>
            <w:tcW w:w="5819"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val="0"/>
              <w:kinsoku/>
              <w:wordWrap/>
              <w:overflowPunct/>
              <w:topLinePunct w:val="0"/>
              <w:autoSpaceDE/>
              <w:autoSpaceDN/>
              <w:bidi w:val="0"/>
              <w:adjustRightInd w:val="0"/>
              <w:snapToGrid/>
              <w:spacing w:after="0"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主要用于焉耆县人民医院、妇幼保健院、疾控中心、8个乡镇卫生院医共体各分院信息化建设、软件、硬件、医疗设备、医疗教学、资源共享及物流等。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3001"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val="0"/>
              <w:kinsoku/>
              <w:wordWrap/>
              <w:overflowPunct/>
              <w:topLinePunct w:val="0"/>
              <w:autoSpaceDE/>
              <w:autoSpaceDN/>
              <w:bidi w:val="0"/>
              <w:adjustRightInd w:val="0"/>
              <w:snapToGrid/>
              <w:spacing w:after="0"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2"/>
                <w:szCs w:val="22"/>
                <w:vertAlign w:val="baseline"/>
                <w:lang w:val="en-US" w:eastAsia="en-US"/>
              </w:rPr>
            </w:pPr>
            <w:r>
              <w:rPr>
                <w:rFonts w:hint="eastAsia" w:asciiTheme="minorEastAsia" w:hAnsiTheme="minorEastAsia" w:eastAsiaTheme="minorEastAsia" w:cstheme="minorEastAsia"/>
                <w:b w:val="0"/>
                <w:bCs w:val="0"/>
                <w:kern w:val="2"/>
                <w:sz w:val="22"/>
                <w:szCs w:val="22"/>
                <w:lang w:val="en-US" w:eastAsia="zh-CN" w:bidi="ar-SA"/>
              </w:rPr>
              <w:t>焉耆县人民医院大型医疗设备购置项目</w:t>
            </w:r>
          </w:p>
        </w:tc>
        <w:tc>
          <w:tcPr>
            <w:tcW w:w="5819"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val="0"/>
              <w:kinsoku/>
              <w:wordWrap/>
              <w:overflowPunct/>
              <w:topLinePunct w:val="0"/>
              <w:autoSpaceDE/>
              <w:autoSpaceDN/>
              <w:bidi w:val="0"/>
              <w:adjustRightInd w:val="0"/>
              <w:snapToGrid/>
              <w:spacing w:after="0"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主要用于购置放射科3.0T超导核磁共振机、双源螺旋CT机、直线加速器、核素扫描、PETCT乳腺钼靶追光素CT机、脑彩超、全彩超、脑电地形图机、动态心电图+10盒、动态血压+10盒、激光打号机、全自动免疫化染色机、三目显微镜加摄像仪等、流式细胞检测仪、全自动生化分析仪免疫流水线、全自动酶联免疫分析仪、全自动生化分析仪、全自动微生物质检测系统、全自动血液分析仪、放疗设备等检验及内外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001"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val="0"/>
              <w:kinsoku/>
              <w:wordWrap/>
              <w:overflowPunct/>
              <w:topLinePunct w:val="0"/>
              <w:autoSpaceDE/>
              <w:autoSpaceDN/>
              <w:bidi w:val="0"/>
              <w:adjustRightInd w:val="0"/>
              <w:snapToGrid/>
              <w:spacing w:after="0"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2"/>
                <w:szCs w:val="22"/>
                <w:vertAlign w:val="baseline"/>
                <w:lang w:val="en-US" w:eastAsia="en-US"/>
              </w:rPr>
            </w:pPr>
            <w:r>
              <w:rPr>
                <w:rFonts w:hint="eastAsia" w:asciiTheme="minorEastAsia" w:hAnsiTheme="minorEastAsia" w:eastAsiaTheme="minorEastAsia" w:cstheme="minorEastAsia"/>
                <w:b w:val="0"/>
                <w:bCs w:val="0"/>
                <w:kern w:val="2"/>
                <w:sz w:val="22"/>
                <w:szCs w:val="22"/>
                <w:lang w:val="en-US" w:eastAsia="zh-CN" w:bidi="ar-SA"/>
              </w:rPr>
              <w:t>焉耆县人民医院能力提升建设项目</w:t>
            </w:r>
          </w:p>
        </w:tc>
        <w:tc>
          <w:tcPr>
            <w:tcW w:w="5819"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val="0"/>
              <w:kinsoku/>
              <w:wordWrap/>
              <w:overflowPunct/>
              <w:topLinePunct w:val="0"/>
              <w:autoSpaceDE/>
              <w:autoSpaceDN/>
              <w:bidi w:val="0"/>
              <w:adjustRightInd w:val="0"/>
              <w:snapToGrid/>
              <w:spacing w:after="0"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焉耆县人民医院购置车载移动CT1台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001"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val="0"/>
              <w:kinsoku/>
              <w:wordWrap/>
              <w:overflowPunct/>
              <w:topLinePunct w:val="0"/>
              <w:autoSpaceDE/>
              <w:autoSpaceDN/>
              <w:bidi w:val="0"/>
              <w:adjustRightInd w:val="0"/>
              <w:snapToGrid/>
              <w:spacing w:after="0"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焉耆县乡镇卫生院基础设施建设项目</w:t>
            </w:r>
          </w:p>
        </w:tc>
        <w:tc>
          <w:tcPr>
            <w:tcW w:w="5819"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val="0"/>
              <w:kinsoku/>
              <w:wordWrap/>
              <w:overflowPunct/>
              <w:topLinePunct w:val="0"/>
              <w:autoSpaceDE/>
              <w:autoSpaceDN/>
              <w:bidi w:val="0"/>
              <w:adjustRightInd w:val="0"/>
              <w:snapToGrid/>
              <w:spacing w:after="0"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新建8各乡镇卫生院业务楼35000平方米及附属工程，包括发热门诊、预检分诊建设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6" w:hRule="atLeast"/>
        </w:trPr>
        <w:tc>
          <w:tcPr>
            <w:tcW w:w="3001"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val="0"/>
              <w:kinsoku/>
              <w:wordWrap/>
              <w:overflowPunct/>
              <w:topLinePunct w:val="0"/>
              <w:autoSpaceDE/>
              <w:autoSpaceDN/>
              <w:bidi w:val="0"/>
              <w:adjustRightInd w:val="0"/>
              <w:snapToGrid/>
              <w:spacing w:after="0"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焉耆县乡镇卫生院医疗设备及急救设备购置项目</w:t>
            </w:r>
          </w:p>
        </w:tc>
        <w:tc>
          <w:tcPr>
            <w:tcW w:w="5819"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val="0"/>
              <w:kinsoku/>
              <w:wordWrap/>
              <w:overflowPunct/>
              <w:topLinePunct w:val="0"/>
              <w:autoSpaceDE/>
              <w:autoSpaceDN/>
              <w:bidi w:val="0"/>
              <w:adjustRightInd w:val="0"/>
              <w:snapToGrid/>
              <w:spacing w:after="0"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8个乡镇卫生院购置16排CT8台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3001"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val="0"/>
              <w:kinsoku/>
              <w:wordWrap/>
              <w:overflowPunct/>
              <w:topLinePunct w:val="0"/>
              <w:autoSpaceDE/>
              <w:autoSpaceDN/>
              <w:bidi w:val="0"/>
              <w:adjustRightInd w:val="0"/>
              <w:snapToGrid/>
              <w:spacing w:after="0"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焉耆县社区卫生服务中心建设项目</w:t>
            </w:r>
          </w:p>
        </w:tc>
        <w:tc>
          <w:tcPr>
            <w:tcW w:w="5819"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val="0"/>
              <w:kinsoku/>
              <w:wordWrap/>
              <w:overflowPunct/>
              <w:topLinePunct w:val="0"/>
              <w:autoSpaceDE/>
              <w:autoSpaceDN/>
              <w:bidi w:val="0"/>
              <w:adjustRightInd w:val="0"/>
              <w:snapToGrid/>
              <w:spacing w:after="0"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新建焉耆县社区卫生服务中心综合楼建筑面积5000平方米。</w:t>
            </w:r>
          </w:p>
        </w:tc>
      </w:tr>
    </w:tbl>
    <w:p>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方正仿宋_GBK" w:cs="Times New Roman"/>
          <w:b/>
          <w:bCs/>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仿宋" w:hAnsi="仿宋" w:eastAsia="仿宋" w:cs="仿宋"/>
          <w:b w:val="0"/>
          <w:bCs w:val="0"/>
          <w:kern w:val="2"/>
          <w:sz w:val="32"/>
          <w:szCs w:val="32"/>
          <w:lang w:val="en-US" w:eastAsia="zh-CN" w:bidi="ar-SA"/>
        </w:rPr>
      </w:pPr>
      <w:r>
        <w:rPr>
          <w:rFonts w:hint="eastAsia" w:ascii="Times New Roman" w:hAnsi="Times New Roman" w:eastAsia="方正仿宋_GBK" w:cs="Times New Roman"/>
          <w:b/>
          <w:bCs/>
          <w:sz w:val="31"/>
          <w:szCs w:val="31"/>
          <w:lang w:val="en-US" w:eastAsia="zh-CN"/>
        </w:rPr>
        <w:t>——开启智慧健康养老新模式。</w:t>
      </w:r>
      <w:r>
        <w:rPr>
          <w:rFonts w:hint="default" w:ascii="仿宋" w:hAnsi="仿宋" w:eastAsia="仿宋" w:cs="仿宋"/>
          <w:b w:val="0"/>
          <w:bCs w:val="0"/>
          <w:kern w:val="2"/>
          <w:sz w:val="32"/>
          <w:szCs w:val="32"/>
          <w:lang w:val="en-US" w:eastAsia="zh-CN" w:bidi="ar-SA"/>
        </w:rPr>
        <w:t>推动社区综合为老服务中心与社区卫生服务站、护理站或其他医疗设施邻近设置。支持有条件的养老机构按相关规定申请开办康复医院、护理院、中医医院、安宁疗护等机构。</w:t>
      </w:r>
      <w:r>
        <w:rPr>
          <w:rFonts w:hint="eastAsia" w:ascii="仿宋" w:hAnsi="仿宋" w:eastAsia="仿宋" w:cs="仿宋"/>
          <w:b w:val="0"/>
          <w:bCs w:val="0"/>
          <w:kern w:val="2"/>
          <w:sz w:val="32"/>
          <w:szCs w:val="32"/>
          <w:lang w:val="en-US" w:eastAsia="zh-CN" w:bidi="ar-SA"/>
        </w:rPr>
        <w:t>吸引社会资本参与</w:t>
      </w:r>
      <w:r>
        <w:rPr>
          <w:rFonts w:hint="default" w:ascii="仿宋" w:hAnsi="仿宋" w:eastAsia="仿宋" w:cs="仿宋"/>
          <w:b w:val="0"/>
          <w:bCs w:val="0"/>
          <w:kern w:val="2"/>
          <w:sz w:val="32"/>
          <w:szCs w:val="32"/>
          <w:lang w:val="en-US" w:eastAsia="zh-CN" w:bidi="ar-SA"/>
        </w:rPr>
        <w:t>在社区提供日间照料、医疗和康复护理、助餐助行等养老服务。</w:t>
      </w:r>
      <w:r>
        <w:rPr>
          <w:rFonts w:hint="eastAsia" w:ascii="仿宋" w:hAnsi="仿宋" w:eastAsia="仿宋" w:cs="仿宋"/>
          <w:b w:val="0"/>
          <w:bCs w:val="0"/>
          <w:kern w:val="2"/>
          <w:sz w:val="32"/>
          <w:szCs w:val="32"/>
          <w:lang w:val="en-US" w:eastAsia="zh-CN" w:bidi="ar-SA"/>
        </w:rPr>
        <w:t>加大招商引资力度，搭建平台，吸引社会资本积极参与养老机构采用信息技术构建“互联网+养老服务”模式，推动智慧健康养老等新产品新业态新模式发展，让更多老年人享受智能化服务。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1"/>
          <w:szCs w:val="31"/>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黑体_GBK" w:hAnsi="方正黑体_GBK" w:eastAsia="方正黑体_GBK" w:cs="方正黑体_GBK"/>
          <w:b w:val="0"/>
          <w:bCs w:val="0"/>
          <w:sz w:val="31"/>
          <w:szCs w:val="31"/>
          <w:lang w:val="en-US" w:eastAsia="zh-CN"/>
        </w:rPr>
      </w:pPr>
      <w:bookmarkStart w:id="215" w:name="_Toc25424"/>
      <w:bookmarkStart w:id="216" w:name="_Toc12916"/>
      <w:bookmarkStart w:id="217" w:name="_Toc7561"/>
      <w:bookmarkStart w:id="218" w:name="_Toc24262"/>
      <w:bookmarkStart w:id="219" w:name="_Toc14135"/>
      <w:bookmarkStart w:id="220" w:name="_Toc22685"/>
      <w:bookmarkStart w:id="221" w:name="_Toc11945"/>
      <w:bookmarkStart w:id="222" w:name="_Toc10707"/>
      <w:r>
        <w:rPr>
          <w:rFonts w:hint="default" w:ascii="方正黑体_GBK" w:hAnsi="方正黑体_GBK" w:eastAsia="方正黑体_GBK" w:cs="方正黑体_GBK"/>
          <w:b w:val="0"/>
          <w:bCs w:val="0"/>
          <w:sz w:val="31"/>
          <w:szCs w:val="31"/>
          <w:lang w:val="en-US" w:eastAsia="zh-CN"/>
        </w:rPr>
        <w:t>第六章  加强基础设施建设，持续扩大有效投资</w:t>
      </w:r>
      <w:bookmarkEnd w:id="215"/>
      <w:bookmarkEnd w:id="216"/>
      <w:bookmarkEnd w:id="217"/>
      <w:bookmarkEnd w:id="218"/>
      <w:bookmarkEnd w:id="219"/>
      <w:bookmarkEnd w:id="220"/>
      <w:bookmarkEnd w:id="221"/>
      <w:bookmarkEnd w:id="222"/>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zh-CN"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zh-CN" w:eastAsia="zh-CN"/>
        </w:rPr>
      </w:pPr>
      <w:r>
        <w:rPr>
          <w:rFonts w:hint="default" w:ascii="Times New Roman" w:hAnsi="Times New Roman" w:eastAsia="方正仿宋_GBK" w:cs="Times New Roman"/>
          <w:sz w:val="31"/>
          <w:szCs w:val="31"/>
          <w:lang w:val="zh-CN" w:eastAsia="zh-CN"/>
        </w:rPr>
        <w:t>聚焦关键领域和薄弱环节，充分发挥交通、水利、能源、信息化等有效投资对优化供给结构的关键性作用，不断加大基础设施建设力度，切实为高质量发展提供坚强支撑。</w:t>
      </w:r>
    </w:p>
    <w:p>
      <w:pPr>
        <w:rPr>
          <w:rFonts w:hint="default"/>
          <w:lang w:val="en-US" w:eastAsia="zh-CN"/>
        </w:rPr>
      </w:pPr>
      <w:bookmarkStart w:id="223" w:name="_Toc8031"/>
      <w:bookmarkStart w:id="224" w:name="_Toc20570"/>
      <w:bookmarkStart w:id="225" w:name="_Toc14746"/>
    </w:p>
    <w:p>
      <w:pPr>
        <w:pStyle w:val="7"/>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楷体_GBK" w:hAnsi="方正楷体_GBK" w:eastAsia="方正楷体_GBK" w:cs="方正楷体_GBK"/>
          <w:b w:val="0"/>
          <w:bCs/>
          <w:sz w:val="31"/>
          <w:szCs w:val="31"/>
          <w:lang w:val="en-US" w:eastAsia="zh-CN"/>
        </w:rPr>
      </w:pPr>
      <w:bookmarkStart w:id="226" w:name="_Toc4872"/>
      <w:bookmarkStart w:id="227" w:name="_Toc12825"/>
      <w:bookmarkStart w:id="228" w:name="_Toc18586"/>
      <w:bookmarkStart w:id="229" w:name="_Toc28242"/>
      <w:bookmarkStart w:id="230" w:name="_Toc14918"/>
      <w:r>
        <w:rPr>
          <w:rFonts w:hint="default" w:ascii="方正楷体_GBK" w:hAnsi="方正楷体_GBK" w:eastAsia="方正楷体_GBK" w:cs="方正楷体_GBK"/>
          <w:b w:val="0"/>
          <w:bCs/>
          <w:sz w:val="31"/>
          <w:szCs w:val="31"/>
          <w:lang w:val="en-US" w:eastAsia="zh-CN"/>
        </w:rPr>
        <w:t>第一节  加大交通网络建设</w:t>
      </w:r>
      <w:bookmarkEnd w:id="223"/>
      <w:bookmarkEnd w:id="224"/>
      <w:bookmarkEnd w:id="225"/>
      <w:bookmarkEnd w:id="226"/>
      <w:bookmarkEnd w:id="227"/>
      <w:bookmarkEnd w:id="228"/>
      <w:bookmarkEnd w:id="229"/>
      <w:bookmarkEnd w:id="230"/>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bookmarkStart w:id="231" w:name="_Toc21575"/>
      <w:bookmarkStart w:id="232" w:name="_Toc30784"/>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紧紧围绕州委确定的焉耆盆地城市群中心科学定位，持续推进东扩南连“一核心、五节点”布局，不断加快焉耆盆地“六个中心”建设。打造以焉耆为中心的四县三场七个团场的综合交通网络体系，准确打通经济循环，聚焦“外畅”完善综合运输大通道，聚焦“内联”构建经济循环圈高效便捷交通网，扩大路网辐射半径，织密以焉耆为中心的“半小时行程”道路网，加强农村公路建设，全面提升区域和城乡交通服务水平，推进交通体系与产业体系相互匹配、相互融合。</w:t>
      </w:r>
      <w:r>
        <w:rPr>
          <w:rFonts w:hint="eastAsia" w:ascii="Times New Roman" w:hAnsi="Times New Roman" w:eastAsia="方正仿宋_GBK" w:cs="Times New Roman"/>
          <w:sz w:val="31"/>
          <w:szCs w:val="31"/>
          <w:lang w:val="en-US" w:eastAsia="zh-CN"/>
        </w:rPr>
        <w:t>“十四五”末，力争完成100</w:t>
      </w:r>
      <w:r>
        <w:rPr>
          <w:rFonts w:hint="default" w:ascii="Times New Roman" w:hAnsi="Times New Roman" w:eastAsia="方正仿宋_GBK" w:cs="Times New Roman"/>
          <w:sz w:val="31"/>
          <w:szCs w:val="31"/>
          <w:lang w:val="en-US" w:eastAsia="zh-CN"/>
        </w:rPr>
        <w:t>公里农村道路硬化建设，70公里霍拉山牧道建设，75公里农村公路窄路加宽改造</w:t>
      </w:r>
      <w:r>
        <w:rPr>
          <w:rFonts w:hint="eastAsia" w:ascii="Times New Roman" w:hAnsi="Times New Roman" w:eastAsia="方正仿宋_GBK" w:cs="Times New Roman"/>
          <w:sz w:val="31"/>
          <w:szCs w:val="31"/>
          <w:lang w:val="en-US" w:eastAsia="zh-CN"/>
        </w:rPr>
        <w:t>建设</w:t>
      </w:r>
      <w:r>
        <w:rPr>
          <w:rFonts w:hint="default" w:ascii="Times New Roman" w:hAnsi="Times New Roman" w:eastAsia="方正仿宋_GBK" w:cs="Times New Roman"/>
          <w:sz w:val="31"/>
          <w:szCs w:val="31"/>
          <w:lang w:val="en-US" w:eastAsia="zh-CN"/>
        </w:rPr>
        <w:t>，</w:t>
      </w:r>
      <w:r>
        <w:rPr>
          <w:rFonts w:hint="eastAsia" w:ascii="Times New Roman" w:hAnsi="Times New Roman" w:eastAsia="方正仿宋_GBK" w:cs="Times New Roman"/>
          <w:sz w:val="31"/>
          <w:szCs w:val="31"/>
          <w:lang w:val="en-US" w:eastAsia="zh-CN"/>
        </w:rPr>
        <w:t>完成</w:t>
      </w:r>
      <w:r>
        <w:rPr>
          <w:rFonts w:hint="default" w:ascii="Times New Roman" w:hAnsi="Times New Roman" w:eastAsia="方正仿宋_GBK" w:cs="Times New Roman"/>
          <w:sz w:val="31"/>
          <w:szCs w:val="31"/>
          <w:lang w:val="en-US" w:eastAsia="zh-CN"/>
        </w:rPr>
        <w:t>263公里焉耆县与周边县市、团场、乡镇农村公路提档升级，</w:t>
      </w:r>
      <w:r>
        <w:rPr>
          <w:rFonts w:hint="eastAsia" w:ascii="Times New Roman" w:hAnsi="Times New Roman" w:eastAsia="方正仿宋_GBK" w:cs="Times New Roman"/>
          <w:sz w:val="31"/>
          <w:szCs w:val="31"/>
          <w:lang w:val="en-US" w:eastAsia="zh-CN"/>
        </w:rPr>
        <w:t>推进</w:t>
      </w:r>
      <w:r>
        <w:rPr>
          <w:rFonts w:hint="default" w:ascii="Times New Roman" w:hAnsi="Times New Roman" w:eastAsia="方正仿宋_GBK" w:cs="Times New Roman"/>
          <w:sz w:val="31"/>
          <w:szCs w:val="31"/>
          <w:lang w:val="en-US" w:eastAsia="zh-CN"/>
        </w:rPr>
        <w:t>450公里美丽农村路（村内巷道），316公里村道安防</w:t>
      </w:r>
      <w:r>
        <w:rPr>
          <w:rFonts w:hint="eastAsia" w:ascii="Times New Roman" w:hAnsi="Times New Roman" w:eastAsia="方正仿宋_GBK" w:cs="Times New Roman"/>
          <w:sz w:val="31"/>
          <w:szCs w:val="31"/>
          <w:lang w:val="en-US" w:eastAsia="zh-CN"/>
        </w:rPr>
        <w:t>项目和</w:t>
      </w:r>
      <w:r>
        <w:rPr>
          <w:rFonts w:hint="default" w:ascii="Times New Roman" w:hAnsi="Times New Roman" w:eastAsia="方正仿宋_GBK" w:cs="Times New Roman"/>
          <w:sz w:val="31"/>
          <w:szCs w:val="31"/>
          <w:lang w:val="en-US" w:eastAsia="zh-CN"/>
        </w:rPr>
        <w:t>150公里乡村旅游路资源路产业路建设，</w:t>
      </w:r>
      <w:r>
        <w:rPr>
          <w:rFonts w:hint="eastAsia" w:ascii="Times New Roman" w:hAnsi="Times New Roman" w:eastAsia="方正仿宋_GBK" w:cs="Times New Roman"/>
          <w:sz w:val="31"/>
          <w:szCs w:val="31"/>
          <w:lang w:val="en-US" w:eastAsia="zh-CN"/>
        </w:rPr>
        <w:t>加快</w:t>
      </w:r>
      <w:r>
        <w:rPr>
          <w:rFonts w:hint="default" w:ascii="Times New Roman" w:hAnsi="Times New Roman" w:eastAsia="方正仿宋_GBK" w:cs="Times New Roman"/>
          <w:sz w:val="31"/>
          <w:szCs w:val="31"/>
          <w:lang w:val="en-US" w:eastAsia="zh-CN"/>
        </w:rPr>
        <w:t>焉耆西大桥改造提升</w:t>
      </w:r>
      <w:r>
        <w:rPr>
          <w:rFonts w:hint="eastAsia" w:ascii="Times New Roman" w:hAnsi="Times New Roman" w:eastAsia="方正仿宋_GBK" w:cs="Times New Roman"/>
          <w:sz w:val="31"/>
          <w:szCs w:val="31"/>
          <w:lang w:val="en-US" w:eastAsia="zh-CN"/>
        </w:rPr>
        <w:t>和</w:t>
      </w:r>
      <w:r>
        <w:rPr>
          <w:rFonts w:hint="default" w:ascii="Times New Roman" w:hAnsi="Times New Roman" w:eastAsia="方正仿宋_GBK" w:cs="Times New Roman"/>
          <w:sz w:val="31"/>
          <w:szCs w:val="31"/>
          <w:lang w:val="en-US" w:eastAsia="zh-CN"/>
        </w:rPr>
        <w:t>焉耆盆地公铁联运客运交通中心</w:t>
      </w:r>
      <w:r>
        <w:rPr>
          <w:rFonts w:hint="eastAsia" w:ascii="Times New Roman" w:hAnsi="Times New Roman" w:eastAsia="方正仿宋_GBK" w:cs="Times New Roman"/>
          <w:sz w:val="31"/>
          <w:szCs w:val="31"/>
          <w:lang w:val="en-US" w:eastAsia="zh-CN"/>
        </w:rPr>
        <w:t>项目</w:t>
      </w:r>
      <w:r>
        <w:rPr>
          <w:rFonts w:hint="default" w:ascii="Times New Roman" w:hAnsi="Times New Roman" w:eastAsia="方正仿宋_GBK" w:cs="Times New Roman"/>
          <w:sz w:val="31"/>
          <w:szCs w:val="31"/>
          <w:lang w:val="en-US" w:eastAsia="zh-CN"/>
        </w:rPr>
        <w:t>建设</w:t>
      </w:r>
      <w:r>
        <w:rPr>
          <w:rFonts w:hint="eastAsia" w:ascii="Times New Roman" w:hAnsi="Times New Roman" w:eastAsia="方正仿宋_GBK" w:cs="Times New Roman"/>
          <w:sz w:val="31"/>
          <w:szCs w:val="31"/>
          <w:lang w:val="en-US" w:eastAsia="zh-CN"/>
        </w:rPr>
        <w:t>。</w:t>
      </w:r>
    </w:p>
    <w:p>
      <w:pPr>
        <w:rPr>
          <w:rFonts w:hint="default"/>
          <w:lang w:val="en-US" w:eastAsia="zh-CN"/>
        </w:rPr>
      </w:pPr>
      <w:bookmarkStart w:id="233" w:name="_Toc7805"/>
    </w:p>
    <w:tbl>
      <w:tblPr>
        <w:tblStyle w:val="14"/>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4"/>
        <w:gridCol w:w="6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660" w:type="dxa"/>
            <w:gridSpan w:val="2"/>
            <w:tcBorders>
              <w:top w:val="thinThickSmallGap" w:color="auto" w:sz="24" w:space="0"/>
              <w:left w:val="thinThickSmallGap" w:color="auto" w:sz="24" w:space="0"/>
              <w:bottom w:val="thinThickSmallGap" w:color="auto" w:sz="24" w:space="0"/>
              <w:right w:val="thinThickSmallGap" w:color="auto" w:sz="24" w:space="0"/>
            </w:tcBorders>
          </w:tcPr>
          <w:p>
            <w:pPr>
              <w:rPr>
                <w:lang w:eastAsia="zh-CN"/>
              </w:rPr>
            </w:pPr>
            <w:bookmarkStart w:id="234" w:name="_Toc12155"/>
            <w:bookmarkStart w:id="235" w:name="_Toc14589"/>
            <w:bookmarkStart w:id="236" w:name="_Toc8562"/>
            <w:bookmarkStart w:id="237" w:name="_Toc14184"/>
            <w:r>
              <w:rPr>
                <w:rFonts w:hint="eastAsia" w:ascii="方正黑体_GBK" w:hAnsi="方正黑体_GBK" w:eastAsia="方正黑体_GBK" w:cs="方正黑体_GBK"/>
              </w:rPr>
              <w:t>专栏：支撑项目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top"/>
          </w:tcPr>
          <w:p>
            <w:pPr>
              <w:spacing w:after="0" w:line="240" w:lineRule="auto"/>
              <w:rPr>
                <w:lang w:eastAsia="zh-CN"/>
              </w:rPr>
            </w:pPr>
            <w:r>
              <w:rPr>
                <w:rFonts w:hint="eastAsia"/>
                <w:lang w:eastAsia="zh-CN"/>
              </w:rPr>
              <w:t>焉耆盆地公铁联运客运交通中心建设项目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rPr>
                <w:lang w:eastAsia="zh-CN"/>
              </w:rPr>
            </w:pPr>
            <w:r>
              <w:rPr>
                <w:rFonts w:hint="eastAsia"/>
                <w:lang w:eastAsia="zh-CN"/>
              </w:rPr>
              <w:t>总建筑面积35000平方米，总投资20000万元，建设内容包括：公铁联运交通枢纽客运站、大型中转仓库、大型客货营运车辆停车场、公交车出租车停车场、地上地下自用车辆停车场、劳动力商务市场、道路、供热排水管网等及其他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rPr>
                <w:rFonts w:hint="eastAsia"/>
                <w:lang w:eastAsia="zh-CN"/>
              </w:rPr>
            </w:pPr>
            <w:r>
              <w:rPr>
                <w:rFonts w:hint="eastAsia"/>
                <w:lang w:eastAsia="zh-CN"/>
              </w:rPr>
              <w:t>焉耆县2021年农村道路建设项目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top"/>
          </w:tcPr>
          <w:p>
            <w:pPr>
              <w:rPr>
                <w:rFonts w:hint="eastAsia"/>
                <w:lang w:eastAsia="zh-CN"/>
              </w:rPr>
            </w:pPr>
            <w:r>
              <w:rPr>
                <w:rFonts w:hint="eastAsia"/>
                <w:lang w:eastAsia="zh-CN"/>
              </w:rPr>
              <w:t>农村道路硬化建设总里程57.522公里。道路硬化等级为四级，包括路基、路面、桥涵及附属设施。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top"/>
          </w:tcPr>
          <w:p>
            <w:pPr>
              <w:rPr>
                <w:rFonts w:hint="eastAsia"/>
                <w:lang w:eastAsia="zh-CN"/>
              </w:rPr>
            </w:pPr>
            <w:r>
              <w:rPr>
                <w:rFonts w:hint="eastAsia"/>
                <w:lang w:eastAsia="zh-CN"/>
              </w:rPr>
              <w:t>焉耆县霍拉山牧道建设项目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top"/>
          </w:tcPr>
          <w:p>
            <w:pPr>
              <w:rPr>
                <w:rFonts w:hint="eastAsia"/>
                <w:lang w:eastAsia="zh-CN"/>
              </w:rPr>
            </w:pPr>
            <w:r>
              <w:rPr>
                <w:rFonts w:hint="eastAsia"/>
                <w:lang w:eastAsia="zh-CN"/>
              </w:rPr>
              <w:t>焉耆县七个星镇霍拉山村新建牧道70公里，每公里投资120万元，总投资8400万元，包括路基桥涵及附属设施。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rPr>
                <w:lang w:eastAsia="zh-CN"/>
              </w:rPr>
            </w:pPr>
            <w:r>
              <w:rPr>
                <w:rFonts w:hint="eastAsia"/>
                <w:lang w:eastAsia="zh-CN"/>
              </w:rPr>
              <w:t>焉耆县农村道路拓宽改建项目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rPr>
                <w:lang w:eastAsia="zh-CN"/>
              </w:rPr>
            </w:pPr>
            <w:r>
              <w:rPr>
                <w:rFonts w:hint="eastAsia"/>
                <w:lang w:eastAsia="zh-CN"/>
              </w:rPr>
              <w:t>焉耆县各乡镇村组农村公路拓宽改建62公里，每公里投入55万元，总投资3410万元，包括路基、路面、桥涵重建或罩面及附属设施。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rPr>
                <w:lang w:eastAsia="zh-CN"/>
              </w:rPr>
            </w:pPr>
            <w:r>
              <w:rPr>
                <w:rFonts w:hint="eastAsia"/>
                <w:lang w:eastAsia="zh-CN"/>
              </w:rPr>
              <w:t>焉耆县2021年农村道路硬化建设项目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rPr>
                <w:lang w:eastAsia="zh-CN"/>
              </w:rPr>
            </w:pPr>
            <w:r>
              <w:rPr>
                <w:rFonts w:hint="eastAsia"/>
                <w:lang w:eastAsia="zh-CN"/>
              </w:rPr>
              <w:t>农村道路硬化建设总里程28.13公里。道路硬化等级为四级，包括路基、路面、桥涵及附属设施。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rPr>
                <w:lang w:eastAsia="zh-CN"/>
              </w:rPr>
            </w:pPr>
            <w:r>
              <w:rPr>
                <w:rFonts w:hint="eastAsia"/>
                <w:lang w:eastAsia="zh-CN"/>
              </w:rPr>
              <w:t>焉耆县农村公路县乡道改造升级建设项目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rPr>
                <w:lang w:eastAsia="zh-CN"/>
              </w:rPr>
            </w:pPr>
            <w:r>
              <w:rPr>
                <w:rFonts w:hint="eastAsia"/>
                <w:lang w:eastAsia="zh-CN"/>
              </w:rPr>
              <w:t>项目总里程20公里，二级沥青混凝土路面，项目类型：农村公路提档升级，包含路基、路面、桥涵及其附属设施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rPr>
                <w:lang w:eastAsia="zh-CN"/>
              </w:rPr>
            </w:pPr>
            <w:r>
              <w:rPr>
                <w:rFonts w:hint="eastAsia"/>
                <w:lang w:eastAsia="zh-CN"/>
              </w:rPr>
              <w:t>焉耆县农村窄路加宽改造建设项目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rPr>
                <w:lang w:eastAsia="zh-CN"/>
              </w:rPr>
            </w:pPr>
            <w:r>
              <w:rPr>
                <w:rFonts w:hint="eastAsia"/>
                <w:lang w:eastAsia="zh-CN"/>
              </w:rPr>
              <w:t>窄路加宽改造建设总里程75公里，总投资534万元，道路建设等级为四级，包括路基、路面、桥涵及附属设施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rPr>
                <w:lang w:eastAsia="zh-CN"/>
              </w:rPr>
            </w:pPr>
            <w:r>
              <w:rPr>
                <w:rFonts w:hint="eastAsia"/>
                <w:lang w:eastAsia="zh-CN"/>
              </w:rPr>
              <w:t>焉耆县农村公路提档升级建设项目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rPr>
                <w:lang w:eastAsia="zh-CN"/>
              </w:rPr>
            </w:pPr>
            <w:r>
              <w:rPr>
                <w:rFonts w:hint="eastAsia"/>
                <w:lang w:eastAsia="zh-CN"/>
              </w:rPr>
              <w:t>农村公路提档升级建设总里程263公里，总投资35031.6万元，道路建设等级为二级、三级，包括路基、路面、桥涵及附属设施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rPr>
                <w:lang w:eastAsia="zh-CN"/>
              </w:rPr>
            </w:pPr>
            <w:r>
              <w:rPr>
                <w:rFonts w:hint="eastAsia"/>
                <w:lang w:eastAsia="zh-CN"/>
              </w:rPr>
              <w:t>焉耆县美丽农村路（村内巷道）建设项目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rPr>
                <w:lang w:eastAsia="zh-CN"/>
              </w:rPr>
            </w:pPr>
            <w:r>
              <w:rPr>
                <w:rFonts w:hint="eastAsia"/>
                <w:lang w:eastAsia="zh-CN"/>
              </w:rPr>
              <w:t>美丽农村路（村内巷道）建设总里程450公里，总投资19980万元，道路建设等级为四级，包括路基、路面、桥涵及附属设施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rPr>
                <w:lang w:eastAsia="zh-CN"/>
              </w:rPr>
            </w:pPr>
            <w:r>
              <w:rPr>
                <w:rFonts w:hint="eastAsia"/>
                <w:lang w:eastAsia="zh-CN"/>
              </w:rPr>
              <w:t>焉耆县-永宁镇-博湖县-种蓄场道路建设项目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rPr>
                <w:lang w:eastAsia="zh-CN"/>
              </w:rPr>
            </w:pPr>
            <w:r>
              <w:rPr>
                <w:rFonts w:hint="eastAsia"/>
                <w:lang w:eastAsia="zh-CN"/>
              </w:rPr>
              <w:t>项目总里程13公里，总投资2309万元，道路建设等级为二级，包括路基、路面、桥涵及附属设施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rPr>
                <w:rFonts w:hint="eastAsia"/>
                <w:lang w:eastAsia="zh-CN"/>
              </w:rPr>
            </w:pPr>
            <w:r>
              <w:rPr>
                <w:rFonts w:hint="eastAsia"/>
                <w:lang w:eastAsia="zh-CN"/>
              </w:rPr>
              <w:t>焉耆西大桥改造提升建设项目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rPr>
                <w:rFonts w:hint="default"/>
                <w:lang w:val="en-US" w:eastAsia="zh-CN"/>
              </w:rPr>
            </w:pPr>
            <w:r>
              <w:rPr>
                <w:rFonts w:hint="eastAsia"/>
                <w:lang w:eastAsia="zh-CN"/>
              </w:rPr>
              <w:t>桥梁全长410米，项目类型：村道危桥改造工程，基础、桥梁下部结构、桥梁上部结构、桥梁附属设施</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rPr>
                <w:rFonts w:hint="eastAsia"/>
                <w:lang w:eastAsia="zh-CN"/>
              </w:rPr>
            </w:pPr>
            <w:r>
              <w:rPr>
                <w:rFonts w:hint="eastAsia"/>
                <w:lang w:eastAsia="zh-CN"/>
              </w:rPr>
              <w:t>焉耆县南河路及南扩道路建设工程（一期）</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rPr>
                <w:rFonts w:hint="default"/>
                <w:lang w:val="en-US" w:eastAsia="zh-CN"/>
              </w:rPr>
            </w:pPr>
            <w:r>
              <w:rPr>
                <w:rFonts w:hint="eastAsia"/>
                <w:lang w:eastAsia="zh-CN"/>
              </w:rPr>
              <w:t>焉耆县南河路及南扩道路建设5公里，每公里投资300万元，总投资1500万元，二级公路，桥涵、路面、路基及安全设施</w:t>
            </w:r>
            <w:r>
              <w:rPr>
                <w:rFonts w:hint="eastAsia"/>
                <w:lang w:val="en-US" w:eastAsia="zh-CN"/>
              </w:rPr>
              <w:t>.</w:t>
            </w:r>
          </w:p>
        </w:tc>
      </w:tr>
    </w:tbl>
    <w:p>
      <w:pPr>
        <w:rPr>
          <w:rFonts w:hint="default"/>
          <w:lang w:val="en-US" w:eastAsia="zh-CN"/>
        </w:rPr>
      </w:pPr>
    </w:p>
    <w:p>
      <w:pPr>
        <w:pStyle w:val="7"/>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楷体_GBK" w:hAnsi="方正楷体_GBK" w:eastAsia="方正楷体_GBK" w:cs="方正楷体_GBK"/>
          <w:b w:val="0"/>
          <w:bCs/>
          <w:sz w:val="31"/>
          <w:szCs w:val="31"/>
          <w:lang w:val="en-US" w:eastAsia="zh-CN"/>
        </w:rPr>
      </w:pPr>
      <w:bookmarkStart w:id="238" w:name="_Toc29404"/>
      <w:r>
        <w:rPr>
          <w:rFonts w:hint="default" w:ascii="方正楷体_GBK" w:hAnsi="方正楷体_GBK" w:eastAsia="方正楷体_GBK" w:cs="方正楷体_GBK"/>
          <w:b w:val="0"/>
          <w:bCs/>
          <w:sz w:val="31"/>
          <w:szCs w:val="31"/>
          <w:lang w:val="en-US" w:eastAsia="zh-CN"/>
        </w:rPr>
        <w:t xml:space="preserve">第二节  </w:t>
      </w:r>
      <w:bookmarkEnd w:id="231"/>
      <w:bookmarkEnd w:id="232"/>
      <w:bookmarkEnd w:id="233"/>
      <w:bookmarkEnd w:id="234"/>
      <w:bookmarkEnd w:id="235"/>
      <w:bookmarkEnd w:id="236"/>
      <w:r>
        <w:rPr>
          <w:rFonts w:hint="default" w:ascii="方正楷体_GBK" w:hAnsi="方正楷体_GBK" w:eastAsia="方正楷体_GBK" w:cs="方正楷体_GBK"/>
          <w:b w:val="0"/>
          <w:bCs/>
          <w:sz w:val="31"/>
          <w:szCs w:val="31"/>
          <w:lang w:val="en-US" w:eastAsia="zh-CN"/>
        </w:rPr>
        <w:t>完善水利基础设施建设</w:t>
      </w:r>
      <w:bookmarkEnd w:id="237"/>
      <w:bookmarkEnd w:id="238"/>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坚持“节水优先、空间均衡、系统治理、两手发力”的治水方针，编制</w:t>
      </w:r>
      <w:r>
        <w:rPr>
          <w:rFonts w:hint="default" w:ascii="Times New Roman" w:hAnsi="Times New Roman" w:eastAsia="方正仿宋_GBK" w:cs="Times New Roman"/>
          <w:sz w:val="31"/>
          <w:szCs w:val="31"/>
          <w:lang w:val="zh-CN" w:eastAsia="zh-CN"/>
        </w:rPr>
        <w:t>全县水资源利用总体规划，</w:t>
      </w:r>
      <w:r>
        <w:rPr>
          <w:rFonts w:hint="default" w:ascii="Times New Roman" w:hAnsi="Times New Roman" w:eastAsia="方正仿宋_GBK" w:cs="Times New Roman"/>
          <w:sz w:val="31"/>
          <w:szCs w:val="31"/>
          <w:lang w:val="en-US" w:eastAsia="zh-CN"/>
        </w:rPr>
        <w:t>牢牢把握“水利工程补短板、水利行业强监管”的水利改革发展总基调，突出问题导向、目标导向，把水安全风险防控作为底线，把水资源作为刚性约束红线，把水生态保护修复作为重点领域，把智慧水利建设作为关键环节，着力补齐水利基础设施短板，强化涉水事务监管，全面提升水安全保障能力。</w:t>
      </w:r>
      <w:bookmarkStart w:id="239" w:name="_Toc9031"/>
      <w:bookmarkStart w:id="240" w:name="_Toc10898"/>
      <w:bookmarkStart w:id="241" w:name="_Toc5424"/>
      <w:bookmarkStart w:id="242" w:name="_Toc7603"/>
      <w:bookmarkStart w:id="243" w:name="_Toc12981"/>
      <w:bookmarkStart w:id="244" w:name="_Toc31295"/>
      <w:r>
        <w:rPr>
          <w:rFonts w:hint="eastAsia" w:ascii="Times New Roman" w:hAnsi="Times New Roman" w:eastAsia="方正仿宋_GBK" w:cs="Times New Roman"/>
          <w:sz w:val="31"/>
          <w:szCs w:val="31"/>
          <w:lang w:val="en-US" w:eastAsia="zh-CN"/>
        </w:rPr>
        <w:t>进一步提升县域水环境、水生态，继续实施水系连通及农村水系综合整治试点县项目；构筑更加安全的防洪减灾体系，加快实施内陆河、中小河流治理项目改善水土流失状况，实施小流域综合治理水土保持项目。针对霍拉沟流域经济、生态、生产发展受水资源短缺制约，实施流域引调水工程；针对乡村供水分散、供水保证率不高、供水效益较差等问题，实施以地表水、地下水为互备水源的城乡供水一体化工程；针对灌区基础设施还较为薄弱，渠系水利用系数还不高，灌区排水渠系不畅等问题，实施大中型灌区续建配套与现代化改造工程、排水渠系清淤疏浚工程；积极争取焉耆县霍拉沟流域引调水工程、焉耆县城乡供水一体化建设项目、大中型灌区续建配套与现代化改造工程、焉耆县排水渠系清淤疏浚工程、内陆河、中小河流治理项目等。“十四五”末，基本建成水资源节约与配置、水资源保护和河湖健康保障、水旱灾害防御、行业全面监管四个体系，水资源利用效率和效益明显提高，城乡供水安全保障程度明显增强，河湖水生态环境明显改善，河流防洪减灾能力全面提升，水利基础设施提档升级取得明显成效，水利监管和风险防控全面增强。</w:t>
      </w:r>
    </w:p>
    <w:p>
      <w:pPr>
        <w:rPr>
          <w:rFonts w:hint="default"/>
          <w:lang w:val="en-US" w:eastAsia="zh-CN"/>
        </w:rPr>
      </w:pPr>
      <w:bookmarkStart w:id="245" w:name="_Toc7939"/>
    </w:p>
    <w:tbl>
      <w:tblPr>
        <w:tblStyle w:val="15"/>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4"/>
        <w:gridCol w:w="6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60" w:type="dxa"/>
            <w:gridSpan w:val="2"/>
            <w:tcBorders>
              <w:top w:val="thinThickSmallGap" w:color="auto" w:sz="24" w:space="0"/>
              <w:left w:val="thinThickSmallGap" w:color="auto" w:sz="24" w:space="0"/>
              <w:bottom w:val="thinThickSmallGap" w:color="auto" w:sz="24" w:space="0"/>
              <w:right w:val="thinThickSmallGap" w:color="auto" w:sz="24" w:space="0"/>
            </w:tcBorders>
          </w:tcPr>
          <w:p>
            <w:pPr>
              <w:adjustRightInd w:val="0"/>
              <w:spacing w:after="0" w:line="560" w:lineRule="exact"/>
              <w:rPr>
                <w:rFonts w:asciiTheme="minorEastAsia" w:hAnsiTheme="minorEastAsia" w:eastAsiaTheme="minorEastAsia" w:cstheme="minorEastAsia"/>
                <w:sz w:val="24"/>
                <w:lang w:eastAsia="zh-CN"/>
              </w:rPr>
            </w:pPr>
            <w:r>
              <w:rPr>
                <w:rFonts w:hint="eastAsia" w:ascii="方正黑体_GBK" w:hAnsi="方正黑体_GBK" w:eastAsia="方正黑体_GBK" w:cs="方正黑体_GBK"/>
                <w:sz w:val="24"/>
              </w:rPr>
              <w:t>专栏：支撑项目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val="0"/>
              <w:tabs>
                <w:tab w:val="left" w:pos="2207"/>
              </w:tabs>
              <w:kinsoku/>
              <w:wordWrap/>
              <w:overflowPunct/>
              <w:topLinePunct w:val="0"/>
              <w:autoSpaceDE/>
              <w:autoSpaceDN/>
              <w:bidi w:val="0"/>
              <w:snapToGrid/>
              <w:spacing w:after="0" w:line="300" w:lineRule="exact"/>
              <w:ind w:left="0" w:leftChars="0" w:right="0" w:rightChars="0" w:firstLine="0" w:firstLineChars="0"/>
              <w:jc w:val="both"/>
              <w:textAlignment w:val="auto"/>
              <w:rPr>
                <w:rFonts w:hint="eastAsia"/>
                <w:sz w:val="20"/>
                <w:szCs w:val="20"/>
                <w:lang w:eastAsia="zh-CN"/>
              </w:rPr>
            </w:pPr>
            <w:r>
              <w:rPr>
                <w:rFonts w:hint="eastAsia"/>
                <w:sz w:val="20"/>
                <w:szCs w:val="20"/>
                <w:lang w:eastAsia="zh-CN"/>
              </w:rPr>
              <w:t>焉耆县霍拉沟流域引调水工程</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tabs>
                <w:tab w:val="left" w:pos="2207"/>
              </w:tabs>
              <w:kinsoku/>
              <w:wordWrap/>
              <w:overflowPunct/>
              <w:topLinePunct w:val="0"/>
              <w:autoSpaceDE/>
              <w:autoSpaceDN/>
              <w:bidi w:val="0"/>
              <w:snapToGrid/>
              <w:spacing w:after="0" w:line="300" w:lineRule="exact"/>
              <w:ind w:left="0" w:leftChars="0" w:right="0" w:rightChars="0" w:firstLine="0" w:firstLineChars="0"/>
              <w:textAlignment w:val="auto"/>
              <w:rPr>
                <w:rFonts w:hint="eastAsia"/>
                <w:sz w:val="20"/>
                <w:szCs w:val="20"/>
                <w:lang w:eastAsia="zh-CN"/>
              </w:rPr>
            </w:pPr>
            <w:r>
              <w:rPr>
                <w:rFonts w:hint="eastAsia"/>
                <w:sz w:val="20"/>
                <w:szCs w:val="20"/>
                <w:lang w:eastAsia="zh-CN"/>
              </w:rPr>
              <w:t>从开都河第一水分枢纽控制的大巴仑渠（七个星干渠）引调水5000万立方米至霍拉沟流域，通过自压输水系统，主要解决霍拉沟流域东、西戈壁葡萄基地农业灌溉用水（置换地下水）以及河北巴州生态园区、临铁物流园、康养小镇等用水问题，优化配置霍拉沟流域生态、农业、工业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val="0"/>
              <w:tabs>
                <w:tab w:val="left" w:pos="2207"/>
              </w:tabs>
              <w:kinsoku/>
              <w:wordWrap/>
              <w:overflowPunct/>
              <w:topLinePunct w:val="0"/>
              <w:autoSpaceDE/>
              <w:autoSpaceDN/>
              <w:bidi w:val="0"/>
              <w:snapToGrid/>
              <w:spacing w:after="0" w:line="300" w:lineRule="exact"/>
              <w:ind w:left="0" w:leftChars="0" w:right="0" w:rightChars="0" w:firstLine="0" w:firstLineChars="0"/>
              <w:jc w:val="both"/>
              <w:textAlignment w:val="auto"/>
              <w:rPr>
                <w:rFonts w:hint="eastAsia"/>
                <w:sz w:val="20"/>
                <w:szCs w:val="20"/>
                <w:lang w:eastAsia="zh-CN"/>
              </w:rPr>
            </w:pPr>
            <w:r>
              <w:rPr>
                <w:rFonts w:hint="eastAsia"/>
                <w:sz w:val="20"/>
                <w:szCs w:val="20"/>
                <w:lang w:eastAsia="zh-CN"/>
              </w:rPr>
              <w:t>焉耆县城乡供水一体化建设项目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tabs>
                <w:tab w:val="left" w:pos="2207"/>
              </w:tabs>
              <w:kinsoku/>
              <w:wordWrap/>
              <w:overflowPunct/>
              <w:topLinePunct w:val="0"/>
              <w:autoSpaceDE/>
              <w:autoSpaceDN/>
              <w:bidi w:val="0"/>
              <w:snapToGrid/>
              <w:spacing w:after="0" w:line="300" w:lineRule="exact"/>
              <w:ind w:left="0" w:leftChars="0" w:right="0" w:rightChars="0" w:firstLine="0" w:firstLineChars="0"/>
              <w:textAlignment w:val="auto"/>
              <w:rPr>
                <w:rFonts w:hint="eastAsia"/>
                <w:sz w:val="20"/>
                <w:szCs w:val="20"/>
                <w:lang w:eastAsia="zh-CN"/>
              </w:rPr>
            </w:pPr>
            <w:r>
              <w:rPr>
                <w:rFonts w:hint="eastAsia"/>
                <w:sz w:val="20"/>
                <w:szCs w:val="20"/>
                <w:lang w:eastAsia="zh-CN"/>
              </w:rPr>
              <w:t>建设霍拉沟水库地表水水源与地下水互备的水源工程，以城乡人饮需求和规模，建设日供水量6万立方米的集中供水水厂，连通四乡四镇两场供水管网，形成规模化集中供水，建成高质量城乡供水体系。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5"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val="0"/>
              <w:tabs>
                <w:tab w:val="left" w:pos="2207"/>
              </w:tabs>
              <w:kinsoku/>
              <w:wordWrap/>
              <w:overflowPunct/>
              <w:topLinePunct w:val="0"/>
              <w:autoSpaceDE/>
              <w:autoSpaceDN/>
              <w:bidi w:val="0"/>
              <w:snapToGrid/>
              <w:spacing w:after="0" w:line="300" w:lineRule="exact"/>
              <w:ind w:left="0" w:leftChars="0" w:right="0" w:rightChars="0" w:firstLine="0" w:firstLineChars="0"/>
              <w:jc w:val="both"/>
              <w:textAlignment w:val="auto"/>
              <w:rPr>
                <w:rFonts w:hint="eastAsia"/>
                <w:sz w:val="20"/>
                <w:szCs w:val="20"/>
                <w:lang w:eastAsia="zh-CN"/>
              </w:rPr>
            </w:pPr>
            <w:r>
              <w:rPr>
                <w:rFonts w:hint="eastAsia"/>
                <w:sz w:val="20"/>
                <w:szCs w:val="20"/>
                <w:lang w:eastAsia="zh-CN"/>
              </w:rPr>
              <w:t>焉耆县水系连通及农村水系综合整治试点县</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tabs>
                <w:tab w:val="left" w:pos="2207"/>
              </w:tabs>
              <w:kinsoku/>
              <w:wordWrap/>
              <w:overflowPunct/>
              <w:topLinePunct w:val="0"/>
              <w:autoSpaceDE/>
              <w:autoSpaceDN/>
              <w:bidi w:val="0"/>
              <w:snapToGrid/>
              <w:spacing w:after="0" w:line="300" w:lineRule="exact"/>
              <w:ind w:left="0" w:leftChars="0" w:right="0" w:rightChars="0" w:firstLine="0" w:firstLineChars="0"/>
              <w:textAlignment w:val="auto"/>
              <w:rPr>
                <w:rFonts w:hint="eastAsia"/>
                <w:sz w:val="20"/>
                <w:szCs w:val="20"/>
                <w:lang w:eastAsia="zh-CN"/>
              </w:rPr>
            </w:pPr>
            <w:r>
              <w:rPr>
                <w:rFonts w:hint="eastAsia"/>
                <w:sz w:val="20"/>
                <w:szCs w:val="20"/>
                <w:lang w:eastAsia="zh-CN"/>
              </w:rPr>
              <w:t>清淤河道长度15公里，新建河道护岸20.12公里，新增霍拉沟千佛洞水土保持面积0.9平方公里，霍拉沟新增绿化及水域面积6.7平方米，对霍拉山村进行环境提升。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val="0"/>
              <w:tabs>
                <w:tab w:val="left" w:pos="2207"/>
              </w:tabs>
              <w:kinsoku/>
              <w:wordWrap/>
              <w:overflowPunct/>
              <w:topLinePunct w:val="0"/>
              <w:autoSpaceDE/>
              <w:autoSpaceDN/>
              <w:bidi w:val="0"/>
              <w:snapToGrid/>
              <w:spacing w:after="0" w:line="300" w:lineRule="exact"/>
              <w:ind w:left="0" w:leftChars="0" w:right="0" w:rightChars="0" w:firstLine="0" w:firstLineChars="0"/>
              <w:jc w:val="both"/>
              <w:textAlignment w:val="auto"/>
              <w:rPr>
                <w:rFonts w:hint="eastAsia"/>
                <w:sz w:val="20"/>
                <w:szCs w:val="20"/>
                <w:lang w:eastAsia="zh-CN"/>
              </w:rPr>
            </w:pPr>
            <w:r>
              <w:rPr>
                <w:rFonts w:hint="eastAsia"/>
                <w:sz w:val="20"/>
                <w:szCs w:val="20"/>
                <w:lang w:eastAsia="zh-CN"/>
              </w:rPr>
              <w:t>焉耆县农村饮水维修养护工程</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tabs>
                <w:tab w:val="left" w:pos="2207"/>
              </w:tabs>
              <w:kinsoku/>
              <w:wordWrap/>
              <w:overflowPunct/>
              <w:topLinePunct w:val="0"/>
              <w:autoSpaceDE/>
              <w:autoSpaceDN/>
              <w:bidi w:val="0"/>
              <w:snapToGrid/>
              <w:spacing w:after="0" w:line="300" w:lineRule="exact"/>
              <w:ind w:left="0" w:leftChars="0" w:right="0" w:rightChars="0" w:firstLine="0" w:firstLineChars="0"/>
              <w:textAlignment w:val="auto"/>
              <w:rPr>
                <w:rFonts w:hint="eastAsia"/>
                <w:sz w:val="20"/>
                <w:szCs w:val="20"/>
                <w:lang w:eastAsia="zh-CN"/>
              </w:rPr>
            </w:pPr>
            <w:r>
              <w:rPr>
                <w:rFonts w:hint="eastAsia"/>
                <w:sz w:val="20"/>
                <w:szCs w:val="20"/>
                <w:lang w:eastAsia="zh-CN"/>
              </w:rPr>
              <w:t>焉耆县农村饮水管网维修，移表出户。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tabs>
                <w:tab w:val="left" w:pos="2207"/>
              </w:tabs>
              <w:kinsoku/>
              <w:wordWrap/>
              <w:overflowPunct/>
              <w:topLinePunct w:val="0"/>
              <w:autoSpaceDE/>
              <w:autoSpaceDN/>
              <w:bidi w:val="0"/>
              <w:snapToGrid/>
              <w:spacing w:after="0" w:line="300" w:lineRule="exact"/>
              <w:ind w:left="0" w:leftChars="0" w:right="0" w:rightChars="0" w:firstLine="0" w:firstLineChars="0"/>
              <w:textAlignment w:val="auto"/>
              <w:rPr>
                <w:rFonts w:hint="eastAsia"/>
                <w:sz w:val="20"/>
                <w:szCs w:val="20"/>
                <w:lang w:eastAsia="zh-CN"/>
              </w:rPr>
            </w:pPr>
            <w:r>
              <w:rPr>
                <w:rFonts w:hint="eastAsia"/>
                <w:sz w:val="20"/>
                <w:szCs w:val="20"/>
                <w:lang w:eastAsia="zh-CN"/>
              </w:rPr>
              <w:t>博斯腾灌区续建配套与现代化改造工程（焉耆县）</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tabs>
                <w:tab w:val="left" w:pos="2207"/>
              </w:tabs>
              <w:kinsoku/>
              <w:wordWrap/>
              <w:overflowPunct/>
              <w:topLinePunct w:val="0"/>
              <w:autoSpaceDE/>
              <w:autoSpaceDN/>
              <w:bidi w:val="0"/>
              <w:snapToGrid/>
              <w:spacing w:after="0" w:line="300" w:lineRule="exact"/>
              <w:ind w:left="0" w:leftChars="0" w:right="0" w:rightChars="0" w:firstLine="0" w:firstLineChars="0"/>
              <w:textAlignment w:val="auto"/>
              <w:rPr>
                <w:rFonts w:hint="eastAsia"/>
                <w:sz w:val="20"/>
                <w:szCs w:val="20"/>
                <w:lang w:eastAsia="zh-CN"/>
              </w:rPr>
            </w:pPr>
            <w:r>
              <w:rPr>
                <w:rFonts w:hint="eastAsia"/>
                <w:sz w:val="20"/>
                <w:szCs w:val="20"/>
                <w:lang w:eastAsia="zh-CN"/>
              </w:rPr>
              <w:t>防渗改造干、支渠总长度 56.41km，配套渠系建筑物共 103 座及灌区管理设施和信息化建设工程。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tabs>
                <w:tab w:val="left" w:pos="2207"/>
              </w:tabs>
              <w:kinsoku/>
              <w:wordWrap/>
              <w:overflowPunct/>
              <w:topLinePunct w:val="0"/>
              <w:autoSpaceDE/>
              <w:autoSpaceDN/>
              <w:bidi w:val="0"/>
              <w:snapToGrid/>
              <w:spacing w:after="0" w:line="300" w:lineRule="exact"/>
              <w:ind w:left="0" w:leftChars="0" w:right="0" w:rightChars="0" w:firstLine="0" w:firstLineChars="0"/>
              <w:textAlignment w:val="auto"/>
              <w:rPr>
                <w:rFonts w:hint="eastAsia"/>
                <w:sz w:val="20"/>
                <w:szCs w:val="20"/>
                <w:lang w:eastAsia="zh-CN"/>
              </w:rPr>
            </w:pPr>
            <w:r>
              <w:rPr>
                <w:rFonts w:hint="eastAsia"/>
                <w:sz w:val="20"/>
                <w:szCs w:val="20"/>
                <w:lang w:eastAsia="zh-CN"/>
              </w:rPr>
              <w:t>焉</w:t>
            </w:r>
            <w:r>
              <w:rPr>
                <w:rFonts w:hint="eastAsia" w:eastAsiaTheme="minorEastAsia"/>
                <w:spacing w:val="-20"/>
                <w:sz w:val="20"/>
                <w:szCs w:val="20"/>
                <w:lang w:eastAsia="zh-CN"/>
              </w:rPr>
              <w:t>耆县四十里城子中型灌区续建配套与现代化改造</w:t>
            </w:r>
            <w:r>
              <w:rPr>
                <w:rFonts w:hint="eastAsia"/>
                <w:sz w:val="20"/>
                <w:szCs w:val="20"/>
                <w:lang w:eastAsia="zh-CN"/>
              </w:rPr>
              <w:t>工程</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tabs>
                <w:tab w:val="left" w:pos="2207"/>
              </w:tabs>
              <w:kinsoku/>
              <w:wordWrap/>
              <w:overflowPunct/>
              <w:topLinePunct w:val="0"/>
              <w:autoSpaceDE/>
              <w:autoSpaceDN/>
              <w:bidi w:val="0"/>
              <w:snapToGrid/>
              <w:spacing w:after="0" w:line="300" w:lineRule="exact"/>
              <w:ind w:left="0" w:leftChars="0" w:right="0" w:rightChars="0" w:firstLine="0" w:firstLineChars="0"/>
              <w:textAlignment w:val="auto"/>
              <w:rPr>
                <w:rFonts w:hint="eastAsia"/>
                <w:sz w:val="20"/>
                <w:szCs w:val="20"/>
                <w:lang w:eastAsia="zh-CN"/>
              </w:rPr>
            </w:pPr>
            <w:r>
              <w:rPr>
                <w:rFonts w:hint="eastAsia"/>
                <w:sz w:val="20"/>
                <w:szCs w:val="20"/>
                <w:lang w:eastAsia="zh-CN"/>
              </w:rPr>
              <w:t>防渗改造干、支渠总长度 36.4km，配套渠系建筑物共180座及计量设施32处。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tabs>
                <w:tab w:val="left" w:pos="2207"/>
              </w:tabs>
              <w:kinsoku/>
              <w:wordWrap/>
              <w:overflowPunct/>
              <w:topLinePunct w:val="0"/>
              <w:autoSpaceDE/>
              <w:autoSpaceDN/>
              <w:bidi w:val="0"/>
              <w:snapToGrid/>
              <w:spacing w:after="0" w:line="300" w:lineRule="exact"/>
              <w:ind w:left="0" w:leftChars="0" w:right="0" w:rightChars="0" w:firstLine="0" w:firstLineChars="0"/>
              <w:textAlignment w:val="auto"/>
              <w:rPr>
                <w:rFonts w:hint="eastAsia"/>
                <w:sz w:val="20"/>
                <w:szCs w:val="20"/>
                <w:lang w:eastAsia="zh-CN"/>
              </w:rPr>
            </w:pPr>
            <w:r>
              <w:rPr>
                <w:rFonts w:hint="eastAsia"/>
                <w:sz w:val="20"/>
                <w:szCs w:val="20"/>
                <w:lang w:eastAsia="zh-CN"/>
              </w:rPr>
              <w:t>焉耆县北大渠与五号渠中型灌区续建配套与现代化改造工程</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tabs>
                <w:tab w:val="left" w:pos="2207"/>
              </w:tabs>
              <w:kinsoku/>
              <w:wordWrap/>
              <w:overflowPunct/>
              <w:topLinePunct w:val="0"/>
              <w:autoSpaceDE/>
              <w:autoSpaceDN/>
              <w:bidi w:val="0"/>
              <w:snapToGrid/>
              <w:spacing w:after="0" w:line="300" w:lineRule="exact"/>
              <w:ind w:left="0" w:leftChars="0" w:right="0" w:rightChars="0" w:firstLine="0" w:firstLineChars="0"/>
              <w:textAlignment w:val="auto"/>
              <w:rPr>
                <w:rFonts w:hint="eastAsia"/>
                <w:sz w:val="20"/>
                <w:szCs w:val="20"/>
                <w:lang w:eastAsia="zh-CN"/>
              </w:rPr>
            </w:pPr>
            <w:r>
              <w:rPr>
                <w:rFonts w:hint="eastAsia"/>
                <w:sz w:val="20"/>
                <w:szCs w:val="20"/>
                <w:lang w:eastAsia="zh-CN"/>
              </w:rPr>
              <w:t>防渗改造干、支渠总长度11.95km，清淤排渠55.7km，配套渠系建筑物共86座及信息化建设。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tabs>
                <w:tab w:val="left" w:pos="2207"/>
              </w:tabs>
              <w:kinsoku/>
              <w:wordWrap/>
              <w:overflowPunct/>
              <w:topLinePunct w:val="0"/>
              <w:autoSpaceDE/>
              <w:autoSpaceDN/>
              <w:bidi w:val="0"/>
              <w:snapToGrid/>
              <w:spacing w:after="0" w:line="300" w:lineRule="exact"/>
              <w:ind w:left="0" w:leftChars="0" w:right="0" w:rightChars="0" w:firstLine="0" w:firstLineChars="0"/>
              <w:textAlignment w:val="auto"/>
              <w:rPr>
                <w:rFonts w:hint="eastAsia"/>
                <w:sz w:val="20"/>
                <w:szCs w:val="20"/>
                <w:lang w:eastAsia="zh-CN"/>
              </w:rPr>
            </w:pPr>
            <w:r>
              <w:rPr>
                <w:rFonts w:hint="eastAsia"/>
                <w:sz w:val="20"/>
                <w:szCs w:val="20"/>
                <w:lang w:eastAsia="zh-CN"/>
              </w:rPr>
              <w:t>焉耆县永宁中型灌区续建配套与现代化改造工程</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tabs>
                <w:tab w:val="left" w:pos="2207"/>
              </w:tabs>
              <w:kinsoku/>
              <w:wordWrap/>
              <w:overflowPunct/>
              <w:topLinePunct w:val="0"/>
              <w:autoSpaceDE/>
              <w:autoSpaceDN/>
              <w:bidi w:val="0"/>
              <w:snapToGrid/>
              <w:spacing w:after="0" w:line="300" w:lineRule="exact"/>
              <w:ind w:left="0" w:leftChars="0" w:right="0" w:rightChars="0" w:firstLine="0" w:firstLineChars="0"/>
              <w:textAlignment w:val="auto"/>
              <w:rPr>
                <w:rFonts w:hint="eastAsia"/>
                <w:sz w:val="20"/>
                <w:szCs w:val="20"/>
                <w:lang w:eastAsia="zh-CN"/>
              </w:rPr>
            </w:pPr>
            <w:r>
              <w:rPr>
                <w:rFonts w:hint="eastAsia"/>
                <w:sz w:val="20"/>
                <w:szCs w:val="20"/>
                <w:lang w:eastAsia="zh-CN"/>
              </w:rPr>
              <w:t>防渗改造干、支渠总长度11.74km，配套渠系建筑物共54座及信息化建设。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tabs>
                <w:tab w:val="left" w:pos="2207"/>
              </w:tabs>
              <w:kinsoku/>
              <w:wordWrap/>
              <w:overflowPunct/>
              <w:topLinePunct w:val="0"/>
              <w:autoSpaceDE/>
              <w:autoSpaceDN/>
              <w:bidi w:val="0"/>
              <w:snapToGrid/>
              <w:spacing w:after="0" w:line="300" w:lineRule="exact"/>
              <w:ind w:left="0" w:leftChars="0" w:right="0" w:rightChars="0" w:firstLine="0" w:firstLineChars="0"/>
              <w:textAlignment w:val="auto"/>
              <w:rPr>
                <w:rFonts w:hint="eastAsia"/>
                <w:sz w:val="20"/>
                <w:szCs w:val="20"/>
                <w:lang w:eastAsia="zh-CN"/>
              </w:rPr>
            </w:pPr>
            <w:r>
              <w:rPr>
                <w:rFonts w:hint="eastAsia"/>
                <w:sz w:val="20"/>
                <w:szCs w:val="20"/>
                <w:lang w:eastAsia="zh-CN"/>
              </w:rPr>
              <w:t>焉耆县开来渠、国营牧场中型灌区续建配套与现代化改造工程</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tabs>
                <w:tab w:val="left" w:pos="2207"/>
              </w:tabs>
              <w:kinsoku/>
              <w:wordWrap/>
              <w:overflowPunct/>
              <w:topLinePunct w:val="0"/>
              <w:autoSpaceDE/>
              <w:autoSpaceDN/>
              <w:bidi w:val="0"/>
              <w:snapToGrid/>
              <w:spacing w:after="0" w:line="300" w:lineRule="exact"/>
              <w:ind w:left="0" w:leftChars="0" w:right="0" w:rightChars="0" w:firstLine="0" w:firstLineChars="0"/>
              <w:textAlignment w:val="auto"/>
              <w:rPr>
                <w:rFonts w:hint="eastAsia"/>
                <w:sz w:val="20"/>
                <w:szCs w:val="20"/>
                <w:lang w:eastAsia="zh-CN"/>
              </w:rPr>
            </w:pPr>
            <w:r>
              <w:rPr>
                <w:rFonts w:hint="eastAsia"/>
                <w:sz w:val="20"/>
                <w:szCs w:val="20"/>
                <w:lang w:eastAsia="zh-CN"/>
              </w:rPr>
              <w:t>防渗改造灌溉渠道135.62公里，配套建筑物271座灌区信息化建设。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tabs>
                <w:tab w:val="left" w:pos="2207"/>
              </w:tabs>
              <w:kinsoku/>
              <w:wordWrap/>
              <w:overflowPunct/>
              <w:topLinePunct w:val="0"/>
              <w:autoSpaceDE/>
              <w:autoSpaceDN/>
              <w:bidi w:val="0"/>
              <w:snapToGrid/>
              <w:spacing w:after="0" w:line="300" w:lineRule="exact"/>
              <w:ind w:left="0" w:leftChars="0" w:right="0" w:rightChars="0" w:firstLine="0" w:firstLineChars="0"/>
              <w:textAlignment w:val="auto"/>
              <w:rPr>
                <w:rFonts w:hint="eastAsia"/>
                <w:sz w:val="20"/>
                <w:szCs w:val="20"/>
                <w:lang w:eastAsia="zh-CN"/>
              </w:rPr>
            </w:pPr>
            <w:r>
              <w:rPr>
                <w:rFonts w:hint="eastAsia"/>
                <w:sz w:val="20"/>
                <w:szCs w:val="20"/>
                <w:lang w:eastAsia="zh-CN"/>
              </w:rPr>
              <w:t>焉耆县七个星中型灌区节水改造与续建配套工程</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tabs>
                <w:tab w:val="left" w:pos="2207"/>
              </w:tabs>
              <w:kinsoku/>
              <w:wordWrap/>
              <w:overflowPunct/>
              <w:topLinePunct w:val="0"/>
              <w:autoSpaceDE/>
              <w:autoSpaceDN/>
              <w:bidi w:val="0"/>
              <w:snapToGrid/>
              <w:spacing w:after="0" w:line="300" w:lineRule="exact"/>
              <w:ind w:left="0" w:leftChars="0" w:right="0" w:rightChars="0" w:firstLine="0" w:firstLineChars="0"/>
              <w:textAlignment w:val="auto"/>
              <w:rPr>
                <w:rFonts w:hint="eastAsia"/>
                <w:sz w:val="20"/>
                <w:szCs w:val="20"/>
                <w:lang w:eastAsia="zh-CN"/>
              </w:rPr>
            </w:pPr>
            <w:r>
              <w:rPr>
                <w:rFonts w:hint="eastAsia"/>
                <w:sz w:val="20"/>
                <w:szCs w:val="20"/>
                <w:lang w:eastAsia="zh-CN"/>
              </w:rPr>
              <w:t>改造沟渠道127km、改造渠系建筑物158座建设管理设施、进行信息化改造。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tabs>
                <w:tab w:val="left" w:pos="2207"/>
              </w:tabs>
              <w:kinsoku/>
              <w:wordWrap/>
              <w:overflowPunct/>
              <w:topLinePunct w:val="0"/>
              <w:autoSpaceDE/>
              <w:autoSpaceDN/>
              <w:bidi w:val="0"/>
              <w:snapToGrid/>
              <w:spacing w:after="0" w:line="300" w:lineRule="exact"/>
              <w:ind w:left="0" w:leftChars="0" w:right="0" w:rightChars="0" w:firstLine="0" w:firstLineChars="0"/>
              <w:textAlignment w:val="auto"/>
              <w:rPr>
                <w:rFonts w:hint="eastAsia"/>
                <w:sz w:val="20"/>
                <w:szCs w:val="20"/>
                <w:lang w:eastAsia="zh-CN"/>
              </w:rPr>
            </w:pPr>
            <w:r>
              <w:rPr>
                <w:rFonts w:hint="eastAsia"/>
                <w:sz w:val="20"/>
                <w:szCs w:val="20"/>
                <w:lang w:eastAsia="zh-CN"/>
              </w:rPr>
              <w:t>焉耆县霍拉沟小流域霍拉山村水土保持综合治理项目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tabs>
                <w:tab w:val="left" w:pos="2207"/>
              </w:tabs>
              <w:kinsoku/>
              <w:wordWrap/>
              <w:overflowPunct/>
              <w:topLinePunct w:val="0"/>
              <w:autoSpaceDE/>
              <w:autoSpaceDN/>
              <w:bidi w:val="0"/>
              <w:snapToGrid/>
              <w:spacing w:after="0" w:line="300" w:lineRule="exact"/>
              <w:ind w:left="0" w:leftChars="0" w:right="0" w:rightChars="0" w:firstLine="0" w:firstLineChars="0"/>
              <w:textAlignment w:val="auto"/>
              <w:rPr>
                <w:rFonts w:hint="eastAsia"/>
                <w:sz w:val="20"/>
                <w:szCs w:val="20"/>
                <w:lang w:eastAsia="zh-CN"/>
              </w:rPr>
            </w:pPr>
            <w:r>
              <w:rPr>
                <w:rFonts w:hint="eastAsia"/>
                <w:sz w:val="20"/>
                <w:szCs w:val="20"/>
                <w:lang w:eastAsia="zh-CN"/>
              </w:rPr>
              <w:t>治理面积17.76km2，建设护岸工程1.673公里，营造生态林47.51公顷，封育治理1652.49公顷，建设围栏20.1公里，制做宣传碑1座、警示牌、安全牌各10个，采用滴灌方式对项目区内的林草措施进行灌溉。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val="0"/>
              <w:tabs>
                <w:tab w:val="left" w:pos="2207"/>
              </w:tabs>
              <w:kinsoku/>
              <w:wordWrap/>
              <w:overflowPunct/>
              <w:topLinePunct w:val="0"/>
              <w:autoSpaceDE/>
              <w:autoSpaceDN/>
              <w:bidi w:val="0"/>
              <w:snapToGrid/>
              <w:spacing w:after="0" w:line="300" w:lineRule="exact"/>
              <w:ind w:left="0" w:leftChars="0" w:right="0" w:rightChars="0" w:firstLine="0" w:firstLineChars="0"/>
              <w:jc w:val="both"/>
              <w:textAlignment w:val="auto"/>
              <w:rPr>
                <w:rFonts w:hint="eastAsia"/>
                <w:sz w:val="20"/>
                <w:szCs w:val="20"/>
                <w:lang w:eastAsia="zh-CN"/>
              </w:rPr>
            </w:pPr>
            <w:r>
              <w:rPr>
                <w:rFonts w:hint="eastAsia"/>
                <w:sz w:val="20"/>
                <w:szCs w:val="20"/>
                <w:lang w:eastAsia="zh-CN"/>
              </w:rPr>
              <w:t>焉耆县农田排水渠系清淤疏浚项目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tabs>
                <w:tab w:val="left" w:pos="2207"/>
              </w:tabs>
              <w:kinsoku/>
              <w:wordWrap/>
              <w:overflowPunct/>
              <w:topLinePunct w:val="0"/>
              <w:autoSpaceDE/>
              <w:autoSpaceDN/>
              <w:bidi w:val="0"/>
              <w:snapToGrid/>
              <w:spacing w:after="0" w:line="300" w:lineRule="exact"/>
              <w:ind w:left="0" w:leftChars="0" w:right="0" w:rightChars="0" w:firstLine="0" w:firstLineChars="0"/>
              <w:textAlignment w:val="auto"/>
              <w:rPr>
                <w:rFonts w:hint="eastAsia"/>
                <w:sz w:val="20"/>
                <w:szCs w:val="20"/>
                <w:lang w:eastAsia="zh-CN"/>
              </w:rPr>
            </w:pPr>
            <w:r>
              <w:rPr>
                <w:rFonts w:hint="eastAsia"/>
                <w:sz w:val="20"/>
                <w:szCs w:val="20"/>
                <w:lang w:eastAsia="zh-CN"/>
              </w:rPr>
              <w:t>清淤治理排水渠1431.8km；配套建筑物143座；承泄区改造工程3处。</w:t>
            </w:r>
          </w:p>
          <w:p>
            <w:pPr>
              <w:keepNext w:val="0"/>
              <w:keepLines w:val="0"/>
              <w:pageBreakBefore w:val="0"/>
              <w:widowControl w:val="0"/>
              <w:tabs>
                <w:tab w:val="left" w:pos="2207"/>
              </w:tabs>
              <w:kinsoku/>
              <w:wordWrap/>
              <w:overflowPunct/>
              <w:topLinePunct w:val="0"/>
              <w:autoSpaceDE/>
              <w:autoSpaceDN/>
              <w:bidi w:val="0"/>
              <w:snapToGrid/>
              <w:spacing w:after="0" w:line="300" w:lineRule="exact"/>
              <w:ind w:left="0" w:leftChars="0" w:right="0" w:rightChars="0" w:firstLine="0" w:firstLineChars="0"/>
              <w:textAlignment w:val="auto"/>
              <w:rPr>
                <w:rFonts w:hint="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tabs>
                <w:tab w:val="left" w:pos="2207"/>
              </w:tabs>
              <w:kinsoku/>
              <w:wordWrap/>
              <w:overflowPunct/>
              <w:topLinePunct w:val="0"/>
              <w:autoSpaceDE/>
              <w:autoSpaceDN/>
              <w:bidi w:val="0"/>
              <w:snapToGrid/>
              <w:spacing w:after="0" w:line="300" w:lineRule="exact"/>
              <w:ind w:left="0" w:leftChars="0" w:right="0" w:rightChars="0" w:firstLine="0" w:firstLineChars="0"/>
              <w:textAlignment w:val="auto"/>
              <w:rPr>
                <w:rFonts w:hint="eastAsia"/>
                <w:sz w:val="20"/>
                <w:szCs w:val="20"/>
                <w:lang w:eastAsia="zh-CN"/>
              </w:rPr>
            </w:pPr>
            <w:r>
              <w:rPr>
                <w:rFonts w:hint="eastAsia"/>
                <w:sz w:val="20"/>
                <w:szCs w:val="20"/>
                <w:lang w:eastAsia="zh-CN"/>
              </w:rPr>
              <w:t>新疆巴州焉耆县霍拉沟出山口至218国道泄洪口段防洪工程</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tabs>
                <w:tab w:val="left" w:pos="2207"/>
              </w:tabs>
              <w:kinsoku/>
              <w:wordWrap/>
              <w:overflowPunct/>
              <w:topLinePunct w:val="0"/>
              <w:autoSpaceDE/>
              <w:autoSpaceDN/>
              <w:bidi w:val="0"/>
              <w:snapToGrid/>
              <w:spacing w:after="0" w:line="300" w:lineRule="exact"/>
              <w:ind w:left="0" w:leftChars="0" w:right="0" w:rightChars="0" w:firstLine="0" w:firstLineChars="0"/>
              <w:textAlignment w:val="auto"/>
              <w:rPr>
                <w:rFonts w:hint="eastAsia"/>
                <w:sz w:val="20"/>
                <w:szCs w:val="20"/>
                <w:lang w:eastAsia="zh-CN"/>
              </w:rPr>
            </w:pPr>
            <w:r>
              <w:rPr>
                <w:rFonts w:hint="eastAsia"/>
                <w:sz w:val="20"/>
                <w:szCs w:val="20"/>
                <w:lang w:eastAsia="zh-CN"/>
              </w:rPr>
              <w:t>修建泄洪渠3.5km，交通桥2座；新建防洪堤1.005km。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tabs>
                <w:tab w:val="left" w:pos="2207"/>
              </w:tabs>
              <w:kinsoku/>
              <w:wordWrap/>
              <w:overflowPunct/>
              <w:topLinePunct w:val="0"/>
              <w:autoSpaceDE/>
              <w:autoSpaceDN/>
              <w:bidi w:val="0"/>
              <w:snapToGrid/>
              <w:spacing w:after="0" w:line="300" w:lineRule="exact"/>
              <w:ind w:left="0" w:leftChars="0" w:right="0" w:rightChars="0" w:firstLine="0" w:firstLineChars="0"/>
              <w:textAlignment w:val="auto"/>
              <w:rPr>
                <w:rFonts w:hint="eastAsia"/>
                <w:sz w:val="20"/>
                <w:szCs w:val="20"/>
                <w:lang w:eastAsia="zh-CN"/>
              </w:rPr>
            </w:pPr>
            <w:r>
              <w:rPr>
                <w:rFonts w:hint="eastAsia"/>
                <w:sz w:val="20"/>
                <w:szCs w:val="20"/>
                <w:lang w:eastAsia="zh-CN"/>
              </w:rPr>
              <w:t>开都河焉耆段第二分枢纽至南疆铁路桥左右岸防洪工程</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tabs>
                <w:tab w:val="left" w:pos="2207"/>
              </w:tabs>
              <w:kinsoku/>
              <w:wordWrap/>
              <w:overflowPunct/>
              <w:topLinePunct w:val="0"/>
              <w:autoSpaceDE/>
              <w:autoSpaceDN/>
              <w:bidi w:val="0"/>
              <w:snapToGrid/>
              <w:spacing w:after="0" w:line="300" w:lineRule="exact"/>
              <w:ind w:left="0" w:leftChars="0" w:right="0" w:rightChars="0" w:firstLine="0" w:firstLineChars="0"/>
              <w:textAlignment w:val="auto"/>
              <w:rPr>
                <w:rFonts w:hint="eastAsia"/>
                <w:sz w:val="20"/>
                <w:szCs w:val="20"/>
                <w:lang w:eastAsia="zh-CN"/>
              </w:rPr>
            </w:pPr>
            <w:r>
              <w:rPr>
                <w:rFonts w:hint="eastAsia"/>
                <w:sz w:val="20"/>
                <w:szCs w:val="20"/>
                <w:lang w:eastAsia="zh-CN"/>
              </w:rPr>
              <w:t>新建堤防14公里。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tabs>
                <w:tab w:val="left" w:pos="2207"/>
              </w:tabs>
              <w:kinsoku/>
              <w:wordWrap/>
              <w:overflowPunct/>
              <w:topLinePunct w:val="0"/>
              <w:autoSpaceDE/>
              <w:autoSpaceDN/>
              <w:bidi w:val="0"/>
              <w:snapToGrid/>
              <w:spacing w:after="0" w:line="300" w:lineRule="exact"/>
              <w:ind w:left="0" w:leftChars="0" w:right="0" w:rightChars="0" w:firstLine="0" w:firstLineChars="0"/>
              <w:textAlignment w:val="auto"/>
              <w:rPr>
                <w:rFonts w:hint="eastAsia"/>
                <w:sz w:val="20"/>
                <w:szCs w:val="20"/>
                <w:lang w:eastAsia="zh-CN"/>
              </w:rPr>
            </w:pPr>
            <w:r>
              <w:rPr>
                <w:rFonts w:hint="eastAsia"/>
                <w:sz w:val="20"/>
                <w:szCs w:val="20"/>
                <w:lang w:eastAsia="zh-CN"/>
              </w:rPr>
              <w:t>开都河焉耆段第二分枢纽至上游5Km南岸防洪工程</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tabs>
                <w:tab w:val="left" w:pos="2207"/>
              </w:tabs>
              <w:kinsoku/>
              <w:wordWrap/>
              <w:overflowPunct/>
              <w:topLinePunct w:val="0"/>
              <w:autoSpaceDE/>
              <w:autoSpaceDN/>
              <w:bidi w:val="0"/>
              <w:snapToGrid/>
              <w:spacing w:after="0" w:line="300" w:lineRule="exact"/>
              <w:ind w:left="0" w:leftChars="0" w:right="0" w:rightChars="0" w:firstLine="0" w:firstLineChars="0"/>
              <w:textAlignment w:val="auto"/>
              <w:rPr>
                <w:rFonts w:hint="eastAsia"/>
                <w:sz w:val="20"/>
                <w:szCs w:val="20"/>
                <w:lang w:eastAsia="zh-CN"/>
              </w:rPr>
            </w:pPr>
            <w:r>
              <w:rPr>
                <w:rFonts w:hint="eastAsia"/>
                <w:sz w:val="20"/>
                <w:szCs w:val="20"/>
                <w:lang w:eastAsia="zh-CN"/>
              </w:rPr>
              <w:t>修建防洪堤5km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tabs>
                <w:tab w:val="left" w:pos="2207"/>
              </w:tabs>
              <w:kinsoku/>
              <w:wordWrap/>
              <w:overflowPunct/>
              <w:topLinePunct w:val="0"/>
              <w:autoSpaceDE/>
              <w:autoSpaceDN/>
              <w:bidi w:val="0"/>
              <w:snapToGrid/>
              <w:spacing w:after="0" w:line="300" w:lineRule="exact"/>
              <w:ind w:left="0" w:leftChars="0" w:right="0" w:rightChars="0" w:firstLine="0" w:firstLineChars="0"/>
              <w:textAlignment w:val="auto"/>
              <w:rPr>
                <w:rFonts w:hint="eastAsia"/>
                <w:sz w:val="20"/>
                <w:szCs w:val="20"/>
                <w:lang w:eastAsia="zh-CN"/>
              </w:rPr>
            </w:pPr>
            <w:r>
              <w:rPr>
                <w:rFonts w:hint="eastAsia"/>
                <w:sz w:val="20"/>
                <w:szCs w:val="20"/>
                <w:lang w:eastAsia="zh-CN"/>
              </w:rPr>
              <w:t>开都河焉耆段第二分枢纽至上游防洪工程</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tabs>
                <w:tab w:val="left" w:pos="2207"/>
              </w:tabs>
              <w:kinsoku/>
              <w:wordWrap/>
              <w:overflowPunct/>
              <w:topLinePunct w:val="0"/>
              <w:autoSpaceDE/>
              <w:autoSpaceDN/>
              <w:bidi w:val="0"/>
              <w:snapToGrid/>
              <w:spacing w:after="0" w:line="300" w:lineRule="exact"/>
              <w:ind w:left="0" w:leftChars="0" w:right="0" w:rightChars="0" w:firstLine="0" w:firstLineChars="0"/>
              <w:textAlignment w:val="auto"/>
              <w:rPr>
                <w:rFonts w:hint="eastAsia"/>
                <w:sz w:val="20"/>
                <w:szCs w:val="20"/>
                <w:lang w:eastAsia="zh-CN"/>
              </w:rPr>
            </w:pPr>
            <w:r>
              <w:rPr>
                <w:rFonts w:hint="eastAsia"/>
                <w:sz w:val="20"/>
                <w:szCs w:val="20"/>
                <w:lang w:eastAsia="zh-CN"/>
              </w:rPr>
              <w:t>修建防洪堤左岸2.5km，右岸5km</w:t>
            </w:r>
          </w:p>
        </w:tc>
      </w:tr>
    </w:tbl>
    <w:p>
      <w:pPr>
        <w:keepNext w:val="0"/>
        <w:keepLines w:val="0"/>
        <w:pageBreakBefore w:val="0"/>
        <w:widowControl w:val="0"/>
        <w:tabs>
          <w:tab w:val="left" w:pos="2207"/>
        </w:tabs>
        <w:kinsoku/>
        <w:wordWrap/>
        <w:overflowPunct/>
        <w:topLinePunct w:val="0"/>
        <w:autoSpaceDE/>
        <w:autoSpaceDN/>
        <w:bidi w:val="0"/>
        <w:snapToGrid/>
        <w:spacing w:line="300" w:lineRule="exact"/>
        <w:ind w:left="0" w:leftChars="0" w:right="0" w:rightChars="0" w:firstLine="0" w:firstLineChars="0"/>
        <w:textAlignment w:val="auto"/>
        <w:rPr>
          <w:rFonts w:hint="default"/>
          <w:sz w:val="20"/>
          <w:szCs w:val="20"/>
          <w:lang w:val="en-US" w:eastAsia="zh-CN"/>
        </w:rPr>
      </w:pPr>
    </w:p>
    <w:p>
      <w:pPr>
        <w:pStyle w:val="7"/>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楷体_GBK" w:hAnsi="方正楷体_GBK" w:eastAsia="方正楷体_GBK" w:cs="方正楷体_GBK"/>
          <w:b w:val="0"/>
          <w:bCs/>
          <w:sz w:val="31"/>
          <w:szCs w:val="31"/>
          <w:lang w:val="en-US" w:eastAsia="zh-CN"/>
        </w:rPr>
      </w:pPr>
      <w:bookmarkStart w:id="246" w:name="_Toc3613"/>
      <w:r>
        <w:rPr>
          <w:rFonts w:hint="default" w:ascii="方正楷体_GBK" w:hAnsi="方正楷体_GBK" w:eastAsia="方正楷体_GBK" w:cs="方正楷体_GBK"/>
          <w:b w:val="0"/>
          <w:bCs/>
          <w:sz w:val="31"/>
          <w:szCs w:val="31"/>
          <w:lang w:val="en-US" w:eastAsia="zh-CN"/>
        </w:rPr>
        <w:t>第三节  加大园区基础设施建设</w:t>
      </w:r>
      <w:bookmarkEnd w:id="239"/>
      <w:bookmarkEnd w:id="240"/>
      <w:bookmarkEnd w:id="241"/>
      <w:bookmarkEnd w:id="242"/>
      <w:bookmarkEnd w:id="243"/>
      <w:bookmarkEnd w:id="244"/>
      <w:bookmarkEnd w:id="245"/>
      <w:bookmarkEnd w:id="246"/>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按照“资本集聚、资源集约、项目集中、产业集成、人口集聚”原则，持续抓好基础设施、配套服务、重点项目“三项重点”，完善园区内创业、金融、商住、教育、文化等公共服务功能，不断夯实产业发展平台。强化园区基础设施建设，保证路、水、电、气、通讯等基础设施完备，进一步完善园区投资环境；完成并启用园区内商业、食堂、公租房等服务配套设施，为园区企业职工解决吃、住、行、就医等实际问题，解决企业发展后顾之忧；加快园区5G基站建设，推动园区绿色创新发展。建设园区客运站，提高园区交通运输能力。加强园区基础设施建设和管理专业人才队伍建设，提升基础设施维护管理水平；搭建园区建设开发平台公司，为园区发展注入动力，辅助园区管理更加规范。“十四五”末，从“七通一平”迈向“九通一平”，提高园区公共管理和服务功能 ，以产兴城，加快园区产业聚集，提高园区承载能力。</w:t>
      </w:r>
    </w:p>
    <w:p>
      <w:pPr>
        <w:rPr>
          <w:rFonts w:hint="eastAsia"/>
          <w:lang w:val="en-US" w:eastAsia="zh-CN"/>
        </w:rPr>
      </w:pPr>
    </w:p>
    <w:tbl>
      <w:tblPr>
        <w:tblStyle w:val="15"/>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4"/>
        <w:gridCol w:w="6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60" w:type="dxa"/>
            <w:gridSpan w:val="2"/>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kinsoku/>
              <w:wordWrap/>
              <w:overflowPunct/>
              <w:topLinePunct w:val="0"/>
              <w:autoSpaceDE/>
              <w:autoSpaceDN/>
              <w:bidi w:val="0"/>
              <w:adjustRightInd w:val="0"/>
              <w:snapToGrid/>
              <w:spacing w:after="0" w:line="300" w:lineRule="exact"/>
              <w:ind w:left="0" w:leftChars="0" w:right="0" w:rightChars="0" w:firstLine="0" w:firstLineChars="0"/>
              <w:jc w:val="both"/>
              <w:outlineLvl w:val="9"/>
              <w:rPr>
                <w:rFonts w:asciiTheme="minorEastAsia" w:hAnsiTheme="minorEastAsia" w:eastAsiaTheme="minorEastAsia" w:cstheme="minorEastAsia"/>
                <w:sz w:val="24"/>
                <w:szCs w:val="24"/>
              </w:rPr>
            </w:pPr>
            <w:r>
              <w:rPr>
                <w:rFonts w:hint="eastAsia" w:ascii="方正黑体_GBK" w:hAnsi="方正黑体_GBK" w:eastAsia="方正黑体_GBK" w:cs="方正黑体_GBK"/>
                <w:sz w:val="24"/>
                <w:szCs w:val="24"/>
                <w:lang w:eastAsia="zh-CN"/>
              </w:rPr>
              <w:t>专栏：</w:t>
            </w:r>
            <w:r>
              <w:rPr>
                <w:rFonts w:hint="eastAsia" w:ascii="方正黑体_GBK" w:hAnsi="方正黑体_GBK" w:eastAsia="方正黑体_GBK" w:cs="方正黑体_GBK"/>
                <w:sz w:val="24"/>
                <w:szCs w:val="24"/>
              </w:rPr>
              <w:t>支撑项目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kinsoku/>
              <w:wordWrap/>
              <w:overflowPunct/>
              <w:topLinePunct w:val="0"/>
              <w:autoSpaceDE/>
              <w:autoSpaceDN/>
              <w:bidi w:val="0"/>
              <w:snapToGrid/>
              <w:spacing w:after="0" w:line="300" w:lineRule="exact"/>
              <w:ind w:left="0" w:leftChars="0" w:right="0" w:rightChars="0" w:firstLine="0" w:firstLineChars="0"/>
              <w:jc w:val="both"/>
              <w:textAlignment w:val="center"/>
              <w:rPr>
                <w:rFonts w:ascii="宋体" w:hAnsi="宋体" w:cs="宋体"/>
                <w:color w:val="000000"/>
                <w:kern w:val="0"/>
                <w:sz w:val="20"/>
                <w:szCs w:val="20"/>
                <w:lang w:eastAsia="zh-CN" w:bidi="ar"/>
              </w:rPr>
            </w:pPr>
            <w:r>
              <w:rPr>
                <w:rFonts w:ascii="宋体" w:hAnsi="宋体" w:cs="宋体"/>
                <w:color w:val="000000"/>
                <w:kern w:val="0"/>
                <w:sz w:val="20"/>
                <w:szCs w:val="20"/>
                <w:lang w:bidi="ar"/>
              </w:rPr>
              <w:t>河北巴州生态产业园二</w:t>
            </w:r>
            <w:r>
              <w:rPr>
                <w:rFonts w:hint="eastAsia" w:ascii="宋体" w:hAnsi="宋体" w:cs="宋体"/>
                <w:color w:val="000000"/>
                <w:kern w:val="0"/>
                <w:sz w:val="20"/>
                <w:szCs w:val="20"/>
                <w:lang w:bidi="ar"/>
              </w:rPr>
              <w:t>级消防站建设</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top"/>
          </w:tcPr>
          <w:p>
            <w:pPr>
              <w:keepNext w:val="0"/>
              <w:keepLines w:val="0"/>
              <w:pageBreakBefore w:val="0"/>
              <w:widowControl/>
              <w:kinsoku/>
              <w:wordWrap/>
              <w:overflowPunct/>
              <w:topLinePunct w:val="0"/>
              <w:autoSpaceDE/>
              <w:autoSpaceDN/>
              <w:bidi w:val="0"/>
              <w:snapToGrid/>
              <w:spacing w:after="0" w:line="300" w:lineRule="exact"/>
              <w:ind w:left="0" w:leftChars="0" w:right="0" w:rightChars="0" w:firstLine="0" w:firstLineChars="0"/>
              <w:jc w:val="left"/>
              <w:textAlignment w:val="center"/>
              <w:rPr>
                <w:rFonts w:hint="eastAsia" w:ascii="宋体" w:hAnsi="宋体" w:cs="宋体"/>
                <w:color w:val="000000"/>
                <w:kern w:val="0"/>
                <w:sz w:val="20"/>
                <w:szCs w:val="20"/>
                <w:lang w:eastAsia="zh-CN" w:bidi="ar"/>
              </w:rPr>
            </w:pPr>
            <w:r>
              <w:rPr>
                <w:rFonts w:hint="eastAsia" w:ascii="宋体" w:hAnsi="宋体" w:cs="宋体"/>
                <w:color w:val="000000"/>
                <w:kern w:val="0"/>
                <w:sz w:val="20"/>
                <w:szCs w:val="20"/>
                <w:lang w:bidi="ar"/>
              </w:rPr>
              <w:t>总建筑面积</w:t>
            </w:r>
            <w:r>
              <w:rPr>
                <w:rFonts w:ascii="宋体" w:hAnsi="宋体" w:cs="宋体"/>
                <w:color w:val="000000"/>
                <w:kern w:val="0"/>
                <w:sz w:val="20"/>
                <w:szCs w:val="20"/>
                <w:lang w:bidi="ar"/>
              </w:rPr>
              <w:t>2700平方米，包括业务用房、附属用房</w:t>
            </w:r>
            <w:r>
              <w:rPr>
                <w:rFonts w:hint="eastAsia" w:ascii="宋体" w:hAnsi="宋体" w:cs="宋体"/>
                <w:color w:val="000000"/>
                <w:kern w:val="0"/>
                <w:sz w:val="20"/>
                <w:szCs w:val="20"/>
                <w:lang w:bidi="ar"/>
              </w:rPr>
              <w:t>等；</w:t>
            </w:r>
            <w:r>
              <w:rPr>
                <w:rFonts w:ascii="宋体" w:hAnsi="宋体" w:cs="宋体"/>
                <w:color w:val="000000"/>
                <w:kern w:val="0"/>
                <w:sz w:val="20"/>
                <w:szCs w:val="20"/>
                <w:lang w:bidi="ar"/>
              </w:rPr>
              <w:t>配套设施(办公设备、电气设</w:t>
            </w:r>
            <w:r>
              <w:rPr>
                <w:rFonts w:hint="eastAsia" w:ascii="宋体" w:hAnsi="宋体" w:cs="宋体"/>
                <w:color w:val="000000"/>
                <w:kern w:val="0"/>
                <w:sz w:val="20"/>
                <w:szCs w:val="20"/>
                <w:lang w:bidi="ar"/>
              </w:rPr>
              <w:t>备、接警系统，消防车辆、地坪硬化、防护设备、训练塔等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top"/>
          </w:tcPr>
          <w:p>
            <w:pPr>
              <w:keepNext w:val="0"/>
              <w:keepLines w:val="0"/>
              <w:pageBreakBefore w:val="0"/>
              <w:widowControl/>
              <w:kinsoku/>
              <w:wordWrap/>
              <w:overflowPunct/>
              <w:topLinePunct w:val="0"/>
              <w:autoSpaceDE/>
              <w:autoSpaceDN/>
              <w:bidi w:val="0"/>
              <w:snapToGrid/>
              <w:spacing w:after="0" w:line="300" w:lineRule="exact"/>
              <w:ind w:left="0" w:leftChars="0" w:right="0" w:rightChars="0" w:firstLine="0" w:firstLineChars="0"/>
              <w:jc w:val="left"/>
              <w:textAlignment w:val="center"/>
              <w:rPr>
                <w:rFonts w:ascii="宋体" w:hAnsi="宋体" w:cs="宋体"/>
                <w:color w:val="000000"/>
                <w:kern w:val="0"/>
                <w:sz w:val="20"/>
                <w:szCs w:val="20"/>
                <w:lang w:eastAsia="zh-CN" w:bidi="ar"/>
              </w:rPr>
            </w:pPr>
            <w:r>
              <w:rPr>
                <w:rFonts w:hint="eastAsia" w:ascii="宋体" w:hAnsi="宋体" w:cs="宋体"/>
                <w:color w:val="000000"/>
                <w:kern w:val="0"/>
                <w:sz w:val="20"/>
                <w:szCs w:val="20"/>
                <w:lang w:bidi="ar"/>
              </w:rPr>
              <w:t>河北巴州生态产业园</w:t>
            </w:r>
            <w:r>
              <w:rPr>
                <w:rFonts w:ascii="宋体" w:hAnsi="宋体" w:cs="宋体"/>
                <w:color w:val="000000"/>
                <w:kern w:val="0"/>
                <w:sz w:val="20"/>
                <w:szCs w:val="20"/>
                <w:lang w:bidi="ar"/>
              </w:rPr>
              <w:fldChar w:fldCharType="begin"/>
            </w:r>
            <w:r>
              <w:rPr>
                <w:rFonts w:ascii="宋体" w:hAnsi="宋体" w:cs="宋体"/>
                <w:color w:val="000000"/>
                <w:kern w:val="0"/>
                <w:sz w:val="20"/>
                <w:szCs w:val="20"/>
                <w:lang w:bidi="ar"/>
              </w:rPr>
              <w:instrText xml:space="preserve"> HYPERLINK "https://www.so.com/link?m=bScppGbMiasgmLPluZN2Ckwg5LyJ+G6HK/d91xh1WhVASaMAi83pMtjJzHvCNkJFo+2bqd72lOHSDix1jpnYqnTV5ZUvLxZoMlliSqQpPxB842E0kgR+lYp8kdB1eK5LPlOusJQJ9v5kb81RTY3+VAuyJHPlGQd0cjInCg7UZLpk3dPGpMPjrERcD0XJLtA5OFQyzOtCPngGJbOHRFybdc83S1hGYKrSP22Ha9ndXgL106ivy4o4czvebUjR/y/1frd87r7yejoZ/LpKhv/sKQRg23i2/s+2h1dculqojQlJoQmsEWNg6bjaFavyOUyom8TeFR1/BCN85ucmFYlWStiDna0NyFJ1UOkQjsimQWBryrzrIeFPSt4bmNJPFYq7hrRgEx1BCpvPbpZccFw50p9bG+/Qo45HyJXEGfw==" \t "https://www.so.com/_blank" </w:instrText>
            </w:r>
            <w:r>
              <w:rPr>
                <w:rFonts w:ascii="宋体" w:hAnsi="宋体" w:cs="宋体"/>
                <w:color w:val="000000"/>
                <w:kern w:val="0"/>
                <w:sz w:val="20"/>
                <w:szCs w:val="20"/>
                <w:lang w:bidi="ar"/>
              </w:rPr>
              <w:fldChar w:fldCharType="separate"/>
            </w:r>
            <w:r>
              <w:rPr>
                <w:rFonts w:ascii="宋体" w:hAnsi="宋体" w:cs="宋体"/>
                <w:color w:val="000000"/>
                <w:kern w:val="0"/>
                <w:sz w:val="20"/>
                <w:szCs w:val="20"/>
                <w:lang w:bidi="ar"/>
              </w:rPr>
              <w:fldChar w:fldCharType="begin"/>
            </w:r>
            <w:r>
              <w:rPr>
                <w:rFonts w:ascii="宋体" w:hAnsi="宋体" w:cs="宋体"/>
                <w:color w:val="000000"/>
                <w:kern w:val="0"/>
                <w:sz w:val="20"/>
                <w:szCs w:val="20"/>
                <w:lang w:bidi="ar"/>
              </w:rPr>
              <w:instrText xml:space="preserve"> HYPERLINK "http://www.woc88.com/i-10254115.html" \t "https://www.so.com/_blank" </w:instrText>
            </w:r>
            <w:r>
              <w:rPr>
                <w:rFonts w:ascii="宋体" w:hAnsi="宋体" w:cs="宋体"/>
                <w:color w:val="000000"/>
                <w:kern w:val="0"/>
                <w:sz w:val="20"/>
                <w:szCs w:val="20"/>
                <w:lang w:bidi="ar"/>
              </w:rPr>
              <w:fldChar w:fldCharType="separate"/>
            </w:r>
            <w:r>
              <w:rPr>
                <w:rFonts w:ascii="宋体" w:hAnsi="宋体" w:cs="宋体"/>
                <w:color w:val="000000"/>
                <w:kern w:val="0"/>
                <w:sz w:val="20"/>
                <w:szCs w:val="20"/>
                <w:lang w:bidi="ar"/>
              </w:rPr>
              <w:t>综合服务体系</w:t>
            </w:r>
            <w:r>
              <w:rPr>
                <w:rFonts w:ascii="宋体" w:hAnsi="宋体" w:cs="宋体"/>
                <w:color w:val="000000"/>
                <w:kern w:val="0"/>
                <w:sz w:val="20"/>
                <w:szCs w:val="20"/>
                <w:lang w:bidi="ar"/>
              </w:rPr>
              <w:fldChar w:fldCharType="end"/>
            </w:r>
            <w:r>
              <w:rPr>
                <w:rFonts w:ascii="宋体" w:hAnsi="宋体" w:cs="宋体"/>
                <w:color w:val="000000"/>
                <w:kern w:val="0"/>
                <w:sz w:val="20"/>
                <w:szCs w:val="20"/>
                <w:lang w:bidi="ar"/>
              </w:rPr>
              <w:t>建设项目</w:t>
            </w:r>
            <w:r>
              <w:rPr>
                <w:rFonts w:ascii="宋体" w:hAnsi="宋体" w:cs="宋体"/>
                <w:color w:val="000000"/>
                <w:kern w:val="0"/>
                <w:sz w:val="20"/>
                <w:szCs w:val="20"/>
                <w:lang w:bidi="ar"/>
              </w:rPr>
              <w:fldChar w:fldCharType="end"/>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top"/>
          </w:tcPr>
          <w:p>
            <w:pPr>
              <w:keepNext w:val="0"/>
              <w:keepLines w:val="0"/>
              <w:pageBreakBefore w:val="0"/>
              <w:widowControl/>
              <w:kinsoku/>
              <w:wordWrap/>
              <w:overflowPunct/>
              <w:topLinePunct w:val="0"/>
              <w:autoSpaceDE/>
              <w:autoSpaceDN/>
              <w:bidi w:val="0"/>
              <w:snapToGrid/>
              <w:spacing w:after="0" w:line="300" w:lineRule="exact"/>
              <w:ind w:left="0" w:leftChars="0" w:right="0" w:rightChars="0" w:firstLine="0" w:firstLineChars="0"/>
              <w:jc w:val="left"/>
              <w:textAlignment w:val="center"/>
              <w:rPr>
                <w:rFonts w:hint="eastAsia" w:ascii="宋体" w:hAnsi="宋体" w:cs="宋体"/>
                <w:color w:val="000000"/>
                <w:kern w:val="0"/>
                <w:sz w:val="20"/>
                <w:szCs w:val="20"/>
                <w:lang w:eastAsia="zh-CN" w:bidi="ar"/>
              </w:rPr>
            </w:pPr>
            <w:r>
              <w:rPr>
                <w:rFonts w:hint="eastAsia" w:ascii="宋体" w:hAnsi="宋体" w:cs="宋体"/>
                <w:color w:val="000000"/>
                <w:kern w:val="0"/>
                <w:sz w:val="20"/>
                <w:szCs w:val="20"/>
                <w:lang w:bidi="ar"/>
              </w:rPr>
              <w:t>引导第三方机构开展企业服务，实现园区的融资融智，引领产业园区经济社会实现自我造血循环和智慧发展。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kinsoku/>
              <w:wordWrap/>
              <w:overflowPunct/>
              <w:topLinePunct w:val="0"/>
              <w:autoSpaceDE/>
              <w:autoSpaceDN/>
              <w:bidi w:val="0"/>
              <w:snapToGrid/>
              <w:spacing w:after="0" w:line="300" w:lineRule="exact"/>
              <w:ind w:left="0" w:leftChars="0" w:right="0" w:rightChars="0" w:firstLine="0" w:firstLineChars="0"/>
              <w:jc w:val="left"/>
              <w:textAlignment w:val="center"/>
              <w:rPr>
                <w:rFonts w:eastAsiaTheme="minorEastAsia"/>
                <w:szCs w:val="21"/>
              </w:rPr>
            </w:pPr>
            <w:r>
              <w:rPr>
                <w:rFonts w:ascii="宋体" w:hAnsi="宋体" w:cs="宋体"/>
                <w:color w:val="000000"/>
                <w:kern w:val="0"/>
                <w:sz w:val="20"/>
                <w:szCs w:val="20"/>
                <w:lang w:bidi="ar"/>
              </w:rPr>
              <w:t>河北巴州生态产业园道路建设项目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kinsoku/>
              <w:wordWrap/>
              <w:overflowPunct/>
              <w:topLinePunct w:val="0"/>
              <w:autoSpaceDE/>
              <w:autoSpaceDN/>
              <w:bidi w:val="0"/>
              <w:snapToGrid/>
              <w:spacing w:after="0" w:line="300" w:lineRule="exact"/>
              <w:ind w:left="0" w:leftChars="0" w:right="0" w:rightChars="0" w:firstLine="0" w:firstLineChars="0"/>
              <w:jc w:val="left"/>
              <w:textAlignment w:val="center"/>
              <w:rPr>
                <w:rFonts w:asciiTheme="minorEastAsia" w:hAnsiTheme="minorEastAsia" w:eastAsiaTheme="minorEastAsia" w:cstheme="minorEastAsia"/>
                <w:sz w:val="20"/>
                <w:szCs w:val="20"/>
                <w:lang w:eastAsia="zh-CN"/>
              </w:rPr>
            </w:pPr>
            <w:r>
              <w:rPr>
                <w:rFonts w:ascii="宋体" w:hAnsi="宋体" w:cs="宋体"/>
                <w:color w:val="000000"/>
                <w:kern w:val="0"/>
                <w:sz w:val="20"/>
                <w:szCs w:val="20"/>
                <w:lang w:bidi="ar"/>
              </w:rPr>
              <w:t>完善</w:t>
            </w:r>
            <w:r>
              <w:rPr>
                <w:rFonts w:hint="eastAsia" w:ascii="宋体" w:hAnsi="宋体" w:cs="宋体"/>
                <w:color w:val="000000"/>
                <w:kern w:val="0"/>
                <w:sz w:val="20"/>
                <w:szCs w:val="20"/>
                <w:lang w:bidi="ar"/>
              </w:rPr>
              <w:t>园区道路及</w:t>
            </w:r>
            <w:r>
              <w:rPr>
                <w:rFonts w:ascii="宋体" w:hAnsi="宋体" w:cs="宋体"/>
                <w:color w:val="000000"/>
                <w:kern w:val="0"/>
                <w:sz w:val="20"/>
                <w:szCs w:val="20"/>
                <w:lang w:bidi="ar"/>
              </w:rPr>
              <w:t>非机动车道、人行道、标识等相关配套设施；园区内部路口交通信号设施</w:t>
            </w:r>
            <w:r>
              <w:rPr>
                <w:rFonts w:hint="eastAsia" w:ascii="宋体" w:hAnsi="宋体" w:cs="宋体"/>
                <w:color w:val="000000"/>
                <w:kern w:val="0"/>
                <w:sz w:val="20"/>
                <w:szCs w:val="20"/>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kinsoku/>
              <w:wordWrap/>
              <w:overflowPunct/>
              <w:topLinePunct w:val="0"/>
              <w:autoSpaceDE/>
              <w:autoSpaceDN/>
              <w:bidi w:val="0"/>
              <w:snapToGrid/>
              <w:spacing w:after="0" w:line="300" w:lineRule="exact"/>
              <w:ind w:left="0" w:leftChars="0" w:right="0" w:rightChars="0" w:firstLine="0" w:firstLineChars="0"/>
              <w:jc w:val="left"/>
              <w:textAlignment w:val="center"/>
              <w:rPr>
                <w:rFonts w:asciiTheme="minorEastAsia" w:hAnsiTheme="minorEastAsia" w:eastAsiaTheme="minorEastAsia" w:cstheme="minorEastAsia"/>
                <w:sz w:val="20"/>
                <w:szCs w:val="20"/>
                <w:lang w:eastAsia="zh-CN"/>
              </w:rPr>
            </w:pPr>
            <w:r>
              <w:rPr>
                <w:rFonts w:ascii="宋体" w:hAnsi="宋体" w:cs="宋体"/>
                <w:color w:val="000000"/>
                <w:kern w:val="0"/>
                <w:sz w:val="20"/>
                <w:szCs w:val="20"/>
                <w:lang w:bidi="ar"/>
              </w:rPr>
              <w:t>河北巴州生态产业园供水二期建设项目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kinsoku/>
              <w:wordWrap/>
              <w:overflowPunct/>
              <w:topLinePunct w:val="0"/>
              <w:autoSpaceDE/>
              <w:autoSpaceDN/>
              <w:bidi w:val="0"/>
              <w:snapToGrid/>
              <w:spacing w:after="0" w:line="300" w:lineRule="exact"/>
              <w:ind w:left="0" w:leftChars="0" w:right="0" w:rightChars="0" w:firstLine="0" w:firstLineChars="0"/>
              <w:jc w:val="left"/>
              <w:textAlignment w:val="center"/>
              <w:rPr>
                <w:rFonts w:asciiTheme="minorEastAsia" w:hAnsiTheme="minorEastAsia" w:eastAsiaTheme="minorEastAsia" w:cstheme="minorEastAsia"/>
                <w:sz w:val="20"/>
                <w:szCs w:val="20"/>
                <w:lang w:eastAsia="zh-CN"/>
              </w:rPr>
            </w:pPr>
            <w:r>
              <w:rPr>
                <w:rFonts w:ascii="宋体" w:hAnsi="宋体" w:cs="宋体"/>
                <w:color w:val="000000"/>
                <w:kern w:val="0"/>
                <w:sz w:val="20"/>
                <w:szCs w:val="20"/>
                <w:lang w:bidi="ar"/>
              </w:rPr>
              <w:t>从库尔勒银泉水务取水，新建5000m³蓄水池两座，供水主管网10km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kinsoku/>
              <w:wordWrap/>
              <w:overflowPunct/>
              <w:topLinePunct w:val="0"/>
              <w:autoSpaceDE/>
              <w:autoSpaceDN/>
              <w:bidi w:val="0"/>
              <w:snapToGrid/>
              <w:spacing w:after="0" w:line="300" w:lineRule="exact"/>
              <w:ind w:left="0" w:leftChars="0" w:right="0" w:rightChars="0" w:firstLine="0" w:firstLineChars="0"/>
              <w:jc w:val="left"/>
              <w:textAlignment w:val="center"/>
              <w:rPr>
                <w:rFonts w:asciiTheme="minorEastAsia" w:hAnsiTheme="minorEastAsia" w:eastAsiaTheme="minorEastAsia" w:cstheme="minorEastAsia"/>
                <w:sz w:val="20"/>
                <w:szCs w:val="20"/>
                <w:lang w:eastAsia="zh-CN"/>
              </w:rPr>
            </w:pPr>
            <w:r>
              <w:rPr>
                <w:rFonts w:ascii="宋体" w:hAnsi="宋体" w:cs="宋体"/>
                <w:color w:val="000000"/>
                <w:kern w:val="0"/>
                <w:sz w:val="20"/>
                <w:szCs w:val="20"/>
                <w:lang w:bidi="ar"/>
              </w:rPr>
              <w:t>河北巴州生态产业园中水回用综合利用项目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kinsoku/>
              <w:wordWrap/>
              <w:overflowPunct/>
              <w:topLinePunct w:val="0"/>
              <w:autoSpaceDE/>
              <w:autoSpaceDN/>
              <w:bidi w:val="0"/>
              <w:snapToGrid/>
              <w:spacing w:after="0" w:line="300" w:lineRule="exact"/>
              <w:ind w:left="0" w:leftChars="0" w:right="0" w:rightChars="0" w:firstLine="0" w:firstLineChars="0"/>
              <w:jc w:val="left"/>
              <w:textAlignment w:val="center"/>
              <w:rPr>
                <w:rFonts w:asciiTheme="minorEastAsia" w:hAnsiTheme="minorEastAsia" w:eastAsiaTheme="minorEastAsia" w:cstheme="minorEastAsia"/>
                <w:sz w:val="20"/>
                <w:szCs w:val="20"/>
                <w:lang w:eastAsia="zh-CN"/>
              </w:rPr>
            </w:pPr>
            <w:r>
              <w:rPr>
                <w:rFonts w:ascii="宋体" w:hAnsi="宋体" w:cs="宋体"/>
                <w:color w:val="000000"/>
                <w:kern w:val="0"/>
                <w:sz w:val="20"/>
                <w:szCs w:val="20"/>
                <w:lang w:bidi="ar"/>
              </w:rPr>
              <w:t>建设中水回用储水池480000m³，管网50km，一期建设50000m³储水池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kinsoku/>
              <w:wordWrap/>
              <w:overflowPunct/>
              <w:topLinePunct w:val="0"/>
              <w:autoSpaceDE/>
              <w:autoSpaceDN/>
              <w:bidi w:val="0"/>
              <w:snapToGrid/>
              <w:spacing w:after="0" w:line="300" w:lineRule="exact"/>
              <w:ind w:left="0" w:leftChars="0" w:right="0" w:rightChars="0" w:firstLine="0" w:firstLineChars="0"/>
              <w:jc w:val="left"/>
              <w:textAlignment w:val="center"/>
              <w:rPr>
                <w:rFonts w:asciiTheme="minorEastAsia" w:hAnsiTheme="minorEastAsia" w:eastAsiaTheme="minorEastAsia" w:cstheme="minorEastAsia"/>
                <w:sz w:val="20"/>
                <w:szCs w:val="20"/>
                <w:lang w:eastAsia="zh-CN"/>
              </w:rPr>
            </w:pPr>
            <w:r>
              <w:rPr>
                <w:rFonts w:hint="eastAsia" w:ascii="宋体" w:hAnsi="宋体" w:cs="宋体"/>
                <w:color w:val="000000"/>
                <w:kern w:val="0"/>
                <w:sz w:val="20"/>
                <w:szCs w:val="20"/>
                <w:lang w:bidi="ar"/>
              </w:rPr>
              <w:t>巴州监狱至河北巴州生态产业园排水项目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kinsoku/>
              <w:wordWrap/>
              <w:overflowPunct/>
              <w:topLinePunct w:val="0"/>
              <w:autoSpaceDE/>
              <w:autoSpaceDN/>
              <w:bidi w:val="0"/>
              <w:snapToGrid/>
              <w:spacing w:after="0" w:line="300" w:lineRule="exact"/>
              <w:ind w:left="0" w:leftChars="0" w:right="0" w:rightChars="0" w:firstLine="0" w:firstLineChars="0"/>
              <w:jc w:val="left"/>
              <w:textAlignment w:val="center"/>
              <w:rPr>
                <w:rFonts w:asciiTheme="minorEastAsia" w:hAnsiTheme="minorEastAsia" w:eastAsiaTheme="minorEastAsia" w:cstheme="minorEastAsia"/>
                <w:sz w:val="20"/>
                <w:szCs w:val="20"/>
                <w:lang w:eastAsia="zh-CN"/>
              </w:rPr>
            </w:pPr>
            <w:r>
              <w:rPr>
                <w:rFonts w:hint="eastAsia" w:ascii="宋体" w:hAnsi="宋体" w:cs="宋体"/>
                <w:color w:val="000000"/>
                <w:kern w:val="0"/>
                <w:sz w:val="20"/>
                <w:szCs w:val="20"/>
                <w:lang w:bidi="ar"/>
              </w:rPr>
              <w:t xml:space="preserve">从巴州监狱至河北巴州生态产业园污水处理厂，新建排污管道8公里，采用HDPE管DN400，提升泵站1座，其中穿越南疆铁路线和325省道，架设电力线路。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kinsoku/>
              <w:wordWrap/>
              <w:overflowPunct/>
              <w:topLinePunct w:val="0"/>
              <w:autoSpaceDE/>
              <w:autoSpaceDN/>
              <w:bidi w:val="0"/>
              <w:snapToGrid/>
              <w:spacing w:after="0" w:line="300" w:lineRule="exact"/>
              <w:ind w:left="0" w:leftChars="0" w:right="0" w:rightChars="0" w:firstLine="0" w:firstLineChars="0"/>
              <w:jc w:val="left"/>
              <w:textAlignment w:val="center"/>
              <w:rPr>
                <w:rFonts w:asciiTheme="minorEastAsia" w:hAnsiTheme="minorEastAsia" w:eastAsiaTheme="minorEastAsia" w:cstheme="minorEastAsia"/>
                <w:sz w:val="20"/>
                <w:szCs w:val="20"/>
                <w:lang w:eastAsia="zh-CN"/>
              </w:rPr>
            </w:pPr>
            <w:r>
              <w:rPr>
                <w:rFonts w:ascii="宋体" w:hAnsi="宋体" w:cs="宋体"/>
                <w:color w:val="000000"/>
                <w:kern w:val="0"/>
                <w:sz w:val="20"/>
                <w:szCs w:val="20"/>
                <w:lang w:bidi="ar"/>
              </w:rPr>
              <w:t>河北巴州生态产业园固废集中处理项目</w:t>
            </w:r>
            <w:r>
              <w:rPr>
                <w:rFonts w:hint="eastAsia" w:ascii="宋体" w:hAnsi="宋体" w:cs="宋体"/>
                <w:color w:val="000000"/>
                <w:kern w:val="0"/>
                <w:sz w:val="20"/>
                <w:szCs w:val="20"/>
                <w:lang w:bidi="ar"/>
              </w:rPr>
              <w:t>及</w:t>
            </w:r>
            <w:r>
              <w:rPr>
                <w:rFonts w:ascii="宋体" w:hAnsi="宋体" w:cs="宋体"/>
                <w:color w:val="000000"/>
                <w:kern w:val="0"/>
                <w:sz w:val="20"/>
                <w:szCs w:val="20"/>
                <w:lang w:bidi="ar"/>
              </w:rPr>
              <w:t>环卫设施配套服务建设项目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kinsoku/>
              <w:wordWrap/>
              <w:overflowPunct/>
              <w:topLinePunct w:val="0"/>
              <w:autoSpaceDE/>
              <w:autoSpaceDN/>
              <w:bidi w:val="0"/>
              <w:snapToGrid/>
              <w:spacing w:after="0" w:line="300" w:lineRule="exact"/>
              <w:ind w:left="0" w:leftChars="0" w:right="0" w:rightChars="0" w:firstLine="0" w:firstLineChars="0"/>
              <w:jc w:val="left"/>
              <w:textAlignment w:val="center"/>
              <w:rPr>
                <w:rFonts w:asciiTheme="minorEastAsia" w:hAnsiTheme="minorEastAsia" w:eastAsiaTheme="minorEastAsia" w:cstheme="minorEastAsia"/>
                <w:sz w:val="20"/>
                <w:szCs w:val="20"/>
                <w:lang w:eastAsia="zh-CN"/>
              </w:rPr>
            </w:pPr>
            <w:r>
              <w:rPr>
                <w:rFonts w:ascii="宋体" w:hAnsi="宋体" w:cs="宋体"/>
                <w:color w:val="000000"/>
                <w:kern w:val="0"/>
                <w:sz w:val="20"/>
                <w:szCs w:val="20"/>
                <w:lang w:bidi="ar"/>
              </w:rPr>
              <w:t>建设工业固体废物处理场1座及配套设施，处理能力1万立方米</w:t>
            </w:r>
            <w:r>
              <w:rPr>
                <w:rFonts w:hint="eastAsia" w:ascii="宋体" w:hAnsi="宋体" w:cs="宋体"/>
                <w:color w:val="000000"/>
                <w:kern w:val="0"/>
                <w:sz w:val="20"/>
                <w:szCs w:val="20"/>
                <w:lang w:bidi="ar"/>
              </w:rPr>
              <w:t>，</w:t>
            </w:r>
            <w:r>
              <w:rPr>
                <w:rFonts w:ascii="宋体" w:hAnsi="宋体" w:cs="宋体"/>
                <w:color w:val="000000"/>
                <w:kern w:val="0"/>
                <w:sz w:val="20"/>
                <w:szCs w:val="20"/>
                <w:lang w:bidi="ar"/>
              </w:rPr>
              <w:t>建设垃圾储运站2座，公共厕所8座，购置清运车及垃圾箱等配套设施。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kinsoku/>
              <w:wordWrap/>
              <w:overflowPunct/>
              <w:topLinePunct w:val="0"/>
              <w:autoSpaceDE/>
              <w:autoSpaceDN/>
              <w:bidi w:val="0"/>
              <w:snapToGrid/>
              <w:spacing w:after="0" w:line="300" w:lineRule="exact"/>
              <w:ind w:left="0" w:leftChars="0" w:right="0" w:rightChars="0" w:firstLine="0" w:firstLineChars="0"/>
              <w:jc w:val="left"/>
              <w:textAlignment w:val="center"/>
              <w:rPr>
                <w:rFonts w:asciiTheme="minorEastAsia" w:hAnsiTheme="minorEastAsia" w:eastAsiaTheme="minorEastAsia" w:cstheme="minorEastAsia"/>
                <w:sz w:val="20"/>
                <w:szCs w:val="20"/>
                <w:lang w:eastAsia="zh-CN"/>
              </w:rPr>
            </w:pPr>
            <w:r>
              <w:rPr>
                <w:rFonts w:ascii="宋体" w:hAnsi="宋体" w:cs="宋体"/>
                <w:color w:val="000000"/>
                <w:kern w:val="0"/>
                <w:sz w:val="20"/>
                <w:szCs w:val="20"/>
                <w:lang w:bidi="ar"/>
              </w:rPr>
              <w:t>焉耆工业园区农产品加工产业园环卫设施及配套服务建设项目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kinsoku/>
              <w:wordWrap/>
              <w:overflowPunct/>
              <w:topLinePunct w:val="0"/>
              <w:autoSpaceDE/>
              <w:autoSpaceDN/>
              <w:bidi w:val="0"/>
              <w:snapToGrid/>
              <w:spacing w:after="0" w:line="300" w:lineRule="exact"/>
              <w:ind w:left="0" w:leftChars="0" w:right="0" w:rightChars="0" w:firstLine="0" w:firstLineChars="0"/>
              <w:jc w:val="left"/>
              <w:textAlignment w:val="center"/>
              <w:rPr>
                <w:rFonts w:asciiTheme="minorEastAsia" w:hAnsiTheme="minorEastAsia" w:eastAsiaTheme="minorEastAsia" w:cstheme="minorEastAsia"/>
                <w:sz w:val="20"/>
                <w:szCs w:val="20"/>
                <w:lang w:eastAsia="zh-CN"/>
              </w:rPr>
            </w:pPr>
            <w:r>
              <w:rPr>
                <w:rFonts w:ascii="宋体" w:hAnsi="宋体" w:cs="宋体"/>
                <w:color w:val="000000"/>
                <w:kern w:val="0"/>
                <w:sz w:val="20"/>
                <w:szCs w:val="20"/>
                <w:lang w:bidi="ar"/>
              </w:rPr>
              <w:t>垃圾转运站一处、公厕8座及相关配套设施，占地面积约为 0.2 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kinsoku/>
              <w:wordWrap/>
              <w:overflowPunct/>
              <w:topLinePunct w:val="0"/>
              <w:autoSpaceDE/>
              <w:autoSpaceDN/>
              <w:bidi w:val="0"/>
              <w:snapToGrid/>
              <w:spacing w:after="0" w:line="300" w:lineRule="exact"/>
              <w:ind w:left="0" w:leftChars="0" w:right="0" w:rightChars="0" w:firstLine="0" w:firstLineChars="0"/>
              <w:jc w:val="left"/>
              <w:textAlignment w:val="center"/>
              <w:rPr>
                <w:rFonts w:asciiTheme="minorEastAsia" w:hAnsiTheme="minorEastAsia" w:eastAsiaTheme="minorEastAsia" w:cstheme="minorEastAsia"/>
                <w:sz w:val="20"/>
                <w:szCs w:val="20"/>
                <w:lang w:eastAsia="zh-CN"/>
              </w:rPr>
            </w:pPr>
            <w:r>
              <w:rPr>
                <w:rFonts w:ascii="宋体" w:hAnsi="宋体" w:cs="宋体"/>
                <w:color w:val="000000"/>
                <w:kern w:val="0"/>
                <w:sz w:val="20"/>
                <w:szCs w:val="20"/>
                <w:lang w:bidi="ar"/>
              </w:rPr>
              <w:t>河北巴州生态产业园集中供热工程项目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kinsoku/>
              <w:wordWrap/>
              <w:overflowPunct/>
              <w:topLinePunct w:val="0"/>
              <w:autoSpaceDE/>
              <w:autoSpaceDN/>
              <w:bidi w:val="0"/>
              <w:snapToGrid/>
              <w:spacing w:after="0" w:line="300" w:lineRule="exact"/>
              <w:ind w:left="0" w:leftChars="0" w:right="0" w:rightChars="0" w:firstLine="0" w:firstLineChars="0"/>
              <w:jc w:val="left"/>
              <w:textAlignment w:val="center"/>
              <w:rPr>
                <w:rFonts w:asciiTheme="minorEastAsia" w:hAnsiTheme="minorEastAsia" w:eastAsiaTheme="minorEastAsia" w:cstheme="minorEastAsia"/>
                <w:sz w:val="20"/>
                <w:szCs w:val="20"/>
                <w:lang w:eastAsia="zh-CN"/>
              </w:rPr>
            </w:pPr>
            <w:r>
              <w:rPr>
                <w:rFonts w:ascii="宋体" w:hAnsi="宋体" w:cs="宋体"/>
                <w:color w:val="000000"/>
                <w:kern w:val="0"/>
                <w:sz w:val="20"/>
                <w:szCs w:val="20"/>
                <w:lang w:bidi="ar"/>
              </w:rPr>
              <w:t>建设供热站1座，换热站6座，完成园区管网铺设，（一期 ：建设锅炉房一座，购置锅炉一台，建设供热管网16公里）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kinsoku/>
              <w:wordWrap/>
              <w:overflowPunct/>
              <w:topLinePunct w:val="0"/>
              <w:autoSpaceDE/>
              <w:autoSpaceDN/>
              <w:bidi w:val="0"/>
              <w:snapToGrid/>
              <w:spacing w:after="0" w:line="300" w:lineRule="exact"/>
              <w:ind w:left="0" w:leftChars="0" w:right="0" w:rightChars="0" w:firstLine="0" w:firstLineChars="0"/>
              <w:jc w:val="left"/>
              <w:textAlignment w:val="center"/>
              <w:rPr>
                <w:rFonts w:asciiTheme="minorEastAsia" w:hAnsiTheme="minorEastAsia" w:eastAsiaTheme="minorEastAsia" w:cstheme="minorEastAsia"/>
                <w:sz w:val="20"/>
                <w:szCs w:val="20"/>
                <w:lang w:eastAsia="zh-CN"/>
              </w:rPr>
            </w:pPr>
            <w:r>
              <w:rPr>
                <w:rFonts w:ascii="宋体" w:hAnsi="宋体" w:cs="宋体"/>
                <w:color w:val="000000"/>
                <w:kern w:val="0"/>
                <w:sz w:val="20"/>
                <w:szCs w:val="20"/>
                <w:lang w:bidi="ar"/>
              </w:rPr>
              <w:t>河北巴州生态产业园</w:t>
            </w:r>
            <w:r>
              <w:rPr>
                <w:rFonts w:hint="eastAsia" w:ascii="宋体" w:hAnsi="宋体" w:cs="宋体"/>
                <w:color w:val="000000"/>
                <w:kern w:val="0"/>
                <w:sz w:val="20"/>
                <w:szCs w:val="20"/>
                <w:lang w:bidi="ar"/>
              </w:rPr>
              <w:t>基础设施配套服务建设项目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kinsoku/>
              <w:wordWrap/>
              <w:overflowPunct/>
              <w:topLinePunct w:val="0"/>
              <w:autoSpaceDE/>
              <w:autoSpaceDN/>
              <w:bidi w:val="0"/>
              <w:snapToGrid/>
              <w:spacing w:after="0" w:line="300" w:lineRule="exact"/>
              <w:ind w:left="0" w:leftChars="0" w:right="0" w:rightChars="0" w:firstLine="0" w:firstLineChars="0"/>
              <w:jc w:val="left"/>
              <w:textAlignment w:val="center"/>
              <w:rPr>
                <w:rFonts w:asciiTheme="minorEastAsia" w:hAnsiTheme="minorEastAsia" w:eastAsiaTheme="minorEastAsia" w:cstheme="minorEastAsia"/>
                <w:sz w:val="20"/>
                <w:szCs w:val="20"/>
                <w:lang w:eastAsia="zh-CN"/>
              </w:rPr>
            </w:pPr>
            <w:r>
              <w:rPr>
                <w:rFonts w:hint="eastAsia" w:ascii="宋体" w:hAnsi="宋体" w:cs="宋体"/>
                <w:color w:val="000000"/>
                <w:kern w:val="0"/>
                <w:sz w:val="20"/>
                <w:szCs w:val="20"/>
                <w:lang w:bidi="ar"/>
              </w:rPr>
              <w:t>建设客运站一座，开通与县城及周边乡镇公交车；</w:t>
            </w:r>
            <w:r>
              <w:rPr>
                <w:rFonts w:ascii="宋体" w:hAnsi="宋体" w:cs="宋体"/>
                <w:color w:val="000000"/>
                <w:kern w:val="0"/>
                <w:sz w:val="20"/>
                <w:szCs w:val="20"/>
                <w:lang w:bidi="ar"/>
              </w:rPr>
              <w:t>建设河北巴州生态产业园燃气管网</w:t>
            </w:r>
            <w:r>
              <w:rPr>
                <w:rFonts w:hint="eastAsia" w:ascii="宋体" w:hAnsi="宋体" w:cs="宋体"/>
                <w:color w:val="000000"/>
                <w:kern w:val="0"/>
                <w:sz w:val="20"/>
                <w:szCs w:val="20"/>
                <w:lang w:bidi="ar"/>
              </w:rPr>
              <w:t>98</w:t>
            </w:r>
            <w:r>
              <w:rPr>
                <w:rFonts w:ascii="宋体" w:hAnsi="宋体" w:cs="宋体"/>
                <w:color w:val="000000"/>
                <w:kern w:val="0"/>
                <w:sz w:val="20"/>
                <w:szCs w:val="20"/>
                <w:lang w:bidi="ar"/>
              </w:rPr>
              <w:t>公里及相关配套设施</w:t>
            </w:r>
            <w:r>
              <w:rPr>
                <w:rFonts w:hint="eastAsia" w:ascii="宋体" w:hAnsi="宋体" w:cs="宋体"/>
                <w:color w:val="000000"/>
                <w:kern w:val="0"/>
                <w:sz w:val="20"/>
                <w:szCs w:val="20"/>
                <w:lang w:bidi="ar"/>
              </w:rPr>
              <w:t>；</w:t>
            </w:r>
            <w:r>
              <w:rPr>
                <w:rFonts w:ascii="宋体" w:hAnsi="宋体" w:cs="宋体"/>
                <w:color w:val="000000"/>
                <w:kern w:val="0"/>
                <w:sz w:val="20"/>
                <w:szCs w:val="20"/>
                <w:lang w:bidi="ar"/>
              </w:rPr>
              <w:t>气象站1座及相关设备、配套设施等</w:t>
            </w:r>
            <w:r>
              <w:rPr>
                <w:rFonts w:hint="eastAsia" w:ascii="宋体" w:hAnsi="宋体" w:cs="宋体"/>
                <w:color w:val="000000"/>
                <w:kern w:val="0"/>
                <w:sz w:val="20"/>
                <w:szCs w:val="20"/>
                <w:lang w:bidi="ar"/>
              </w:rPr>
              <w:t>；</w:t>
            </w:r>
            <w:r>
              <w:rPr>
                <w:rFonts w:ascii="宋体" w:hAnsi="宋体" w:cs="宋体"/>
                <w:color w:val="000000"/>
                <w:kern w:val="0"/>
                <w:sz w:val="20"/>
                <w:szCs w:val="20"/>
                <w:lang w:bidi="ar"/>
              </w:rPr>
              <w:t>建设</w:t>
            </w:r>
            <w:r>
              <w:rPr>
                <w:rFonts w:hint="eastAsia" w:ascii="宋体" w:hAnsi="宋体" w:cs="宋体"/>
                <w:color w:val="000000"/>
                <w:kern w:val="0"/>
                <w:sz w:val="20"/>
                <w:szCs w:val="20"/>
                <w:lang w:bidi="ar"/>
              </w:rPr>
              <w:t>完成</w:t>
            </w:r>
            <w:r>
              <w:rPr>
                <w:rFonts w:ascii="宋体" w:hAnsi="宋体" w:cs="宋体"/>
                <w:color w:val="000000"/>
                <w:kern w:val="0"/>
                <w:sz w:val="20"/>
                <w:szCs w:val="20"/>
                <w:lang w:bidi="ar"/>
              </w:rPr>
              <w:t>5G</w:t>
            </w:r>
            <w:r>
              <w:rPr>
                <w:rFonts w:hint="eastAsia" w:ascii="宋体" w:hAnsi="宋体" w:cs="宋体"/>
                <w:color w:val="000000"/>
                <w:kern w:val="0"/>
                <w:sz w:val="20"/>
                <w:szCs w:val="20"/>
                <w:lang w:bidi="ar"/>
              </w:rPr>
              <w:t>基站</w:t>
            </w:r>
            <w:r>
              <w:rPr>
                <w:rFonts w:ascii="宋体" w:hAnsi="宋体" w:cs="宋体"/>
                <w:color w:val="000000"/>
                <w:kern w:val="0"/>
                <w:sz w:val="20"/>
                <w:szCs w:val="20"/>
                <w:lang w:bidi="ar"/>
              </w:rPr>
              <w:t>设施</w:t>
            </w:r>
            <w:r>
              <w:rPr>
                <w:rFonts w:hint="eastAsia" w:ascii="宋体" w:hAnsi="宋体" w:cs="宋体"/>
                <w:color w:val="000000"/>
                <w:kern w:val="0"/>
                <w:sz w:val="20"/>
                <w:szCs w:val="20"/>
                <w:lang w:bidi="ar"/>
              </w:rPr>
              <w:t>；</w:t>
            </w:r>
            <w:r>
              <w:rPr>
                <w:rFonts w:ascii="宋体" w:hAnsi="宋体" w:cs="宋体"/>
                <w:color w:val="000000"/>
                <w:kern w:val="0"/>
                <w:sz w:val="20"/>
                <w:szCs w:val="20"/>
                <w:lang w:bidi="ar"/>
              </w:rPr>
              <w:t>建设截洪沟、拦洪坝等防洪设施</w:t>
            </w:r>
            <w:r>
              <w:rPr>
                <w:rFonts w:hint="eastAsia" w:ascii="宋体" w:hAnsi="宋体" w:cs="宋体"/>
                <w:color w:val="000000"/>
                <w:kern w:val="0"/>
                <w:sz w:val="20"/>
                <w:szCs w:val="20"/>
                <w:lang w:bidi="ar"/>
              </w:rPr>
              <w:t>；</w:t>
            </w:r>
            <w:r>
              <w:rPr>
                <w:rFonts w:ascii="宋体" w:hAnsi="宋体" w:cs="宋体"/>
                <w:color w:val="000000"/>
                <w:kern w:val="0"/>
                <w:sz w:val="20"/>
                <w:szCs w:val="20"/>
                <w:lang w:bidi="ar"/>
              </w:rPr>
              <w:t>建设生态林3000亩等。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kinsoku/>
              <w:wordWrap/>
              <w:overflowPunct/>
              <w:topLinePunct w:val="0"/>
              <w:autoSpaceDE/>
              <w:autoSpaceDN/>
              <w:bidi w:val="0"/>
              <w:snapToGrid/>
              <w:spacing w:after="0" w:line="300" w:lineRule="exact"/>
              <w:ind w:left="0" w:leftChars="0" w:right="0" w:rightChars="0" w:firstLine="0" w:firstLineChars="0"/>
              <w:jc w:val="left"/>
              <w:textAlignment w:val="center"/>
              <w:rPr>
                <w:rFonts w:asciiTheme="minorEastAsia" w:hAnsiTheme="minorEastAsia" w:eastAsiaTheme="minorEastAsia" w:cstheme="minorEastAsia"/>
                <w:sz w:val="20"/>
                <w:szCs w:val="20"/>
                <w:lang w:eastAsia="zh-CN"/>
              </w:rPr>
            </w:pPr>
            <w:r>
              <w:rPr>
                <w:rFonts w:ascii="宋体" w:hAnsi="宋体" w:cs="宋体"/>
                <w:color w:val="000000"/>
                <w:kern w:val="0"/>
                <w:sz w:val="20"/>
                <w:szCs w:val="20"/>
                <w:lang w:bidi="ar"/>
              </w:rPr>
              <w:t>河北巴州生态产业园电力改造项目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kinsoku/>
              <w:wordWrap/>
              <w:overflowPunct/>
              <w:topLinePunct w:val="0"/>
              <w:autoSpaceDE/>
              <w:autoSpaceDN/>
              <w:bidi w:val="0"/>
              <w:snapToGrid/>
              <w:spacing w:after="0" w:line="300" w:lineRule="exact"/>
              <w:ind w:left="0" w:leftChars="0" w:right="0" w:rightChars="0" w:firstLine="0" w:firstLineChars="0"/>
              <w:jc w:val="left"/>
              <w:textAlignment w:val="center"/>
              <w:rPr>
                <w:rFonts w:asciiTheme="minorEastAsia" w:hAnsiTheme="minorEastAsia" w:eastAsiaTheme="minorEastAsia" w:cstheme="minorEastAsia"/>
                <w:sz w:val="20"/>
                <w:szCs w:val="20"/>
                <w:lang w:eastAsia="zh-CN"/>
              </w:rPr>
            </w:pPr>
            <w:r>
              <w:rPr>
                <w:rFonts w:ascii="宋体" w:hAnsi="宋体" w:cs="宋体"/>
                <w:color w:val="000000"/>
                <w:kern w:val="0"/>
                <w:sz w:val="20"/>
                <w:szCs w:val="20"/>
                <w:lang w:bidi="ar"/>
              </w:rPr>
              <w:t>新建及改造配开闭所25台，环网柜45台、自动换开关80台、配变变压器12台容量2.5万千伏安；35千伏电力线路改迁</w:t>
            </w:r>
            <w:r>
              <w:rPr>
                <w:rStyle w:val="23"/>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kinsoku/>
              <w:wordWrap/>
              <w:overflowPunct/>
              <w:topLinePunct w:val="0"/>
              <w:autoSpaceDE/>
              <w:autoSpaceDN/>
              <w:bidi w:val="0"/>
              <w:snapToGrid/>
              <w:spacing w:after="0" w:line="300" w:lineRule="exact"/>
              <w:ind w:left="0" w:leftChars="0" w:right="0" w:rightChars="0" w:firstLine="0" w:firstLineChars="0"/>
              <w:jc w:val="left"/>
              <w:textAlignment w:val="center"/>
              <w:rPr>
                <w:rFonts w:asciiTheme="minorEastAsia" w:hAnsiTheme="minorEastAsia" w:eastAsiaTheme="minorEastAsia" w:cstheme="minorEastAsia"/>
                <w:sz w:val="20"/>
                <w:szCs w:val="20"/>
                <w:lang w:eastAsia="zh-CN"/>
              </w:rPr>
            </w:pPr>
            <w:r>
              <w:rPr>
                <w:rFonts w:ascii="宋体" w:hAnsi="宋体" w:cs="宋体"/>
                <w:color w:val="000000"/>
                <w:kern w:val="0"/>
                <w:sz w:val="20"/>
                <w:szCs w:val="20"/>
                <w:lang w:bidi="ar"/>
              </w:rPr>
              <w:t>葡萄基地基础设施改造项目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kinsoku/>
              <w:wordWrap/>
              <w:overflowPunct/>
              <w:topLinePunct w:val="0"/>
              <w:autoSpaceDE/>
              <w:autoSpaceDN/>
              <w:bidi w:val="0"/>
              <w:snapToGrid/>
              <w:spacing w:after="0" w:line="300" w:lineRule="exact"/>
              <w:ind w:left="0" w:leftChars="0" w:right="0" w:rightChars="0" w:firstLine="0" w:firstLineChars="0"/>
              <w:jc w:val="left"/>
              <w:textAlignment w:val="center"/>
              <w:rPr>
                <w:rFonts w:asciiTheme="minorEastAsia" w:hAnsiTheme="minorEastAsia" w:eastAsiaTheme="minorEastAsia" w:cstheme="minorEastAsia"/>
                <w:sz w:val="20"/>
                <w:szCs w:val="20"/>
                <w:lang w:eastAsia="zh-CN"/>
              </w:rPr>
            </w:pPr>
            <w:r>
              <w:rPr>
                <w:rFonts w:ascii="宋体" w:hAnsi="宋体" w:cs="宋体"/>
                <w:color w:val="000000"/>
                <w:kern w:val="0"/>
                <w:sz w:val="20"/>
                <w:szCs w:val="20"/>
                <w:lang w:bidi="ar"/>
              </w:rPr>
              <w:t>对葡萄基地现有20公里道路等基础设施进行改造，对市政设施进行升级。在园区周围建宽度为50米的防护林带，在西部防护林带的外边缘设截洪沟。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kinsoku/>
              <w:wordWrap/>
              <w:overflowPunct/>
              <w:topLinePunct w:val="0"/>
              <w:autoSpaceDE/>
              <w:autoSpaceDN/>
              <w:bidi w:val="0"/>
              <w:snapToGrid/>
              <w:spacing w:after="0" w:line="300" w:lineRule="exact"/>
              <w:ind w:left="0" w:leftChars="0" w:right="0" w:rightChars="0" w:firstLine="0" w:firstLineChars="0"/>
              <w:jc w:val="left"/>
              <w:textAlignment w:val="center"/>
              <w:rPr>
                <w:rFonts w:asciiTheme="minorEastAsia" w:hAnsiTheme="minorEastAsia" w:eastAsiaTheme="minorEastAsia" w:cstheme="minorEastAsia"/>
                <w:sz w:val="20"/>
                <w:szCs w:val="20"/>
                <w:lang w:eastAsia="zh-CN"/>
              </w:rPr>
            </w:pPr>
            <w:r>
              <w:rPr>
                <w:rFonts w:ascii="宋体" w:hAnsi="宋体" w:cs="宋体"/>
                <w:color w:val="000000"/>
                <w:kern w:val="0"/>
                <w:sz w:val="20"/>
                <w:szCs w:val="20"/>
                <w:lang w:bidi="ar"/>
              </w:rPr>
              <w:t>河北巴州生态产业园职业技术学校教学楼和实训基地建设项目（产教融合）</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kinsoku/>
              <w:wordWrap/>
              <w:overflowPunct/>
              <w:topLinePunct w:val="0"/>
              <w:autoSpaceDE/>
              <w:autoSpaceDN/>
              <w:bidi w:val="0"/>
              <w:snapToGrid/>
              <w:spacing w:after="0" w:line="300" w:lineRule="exact"/>
              <w:ind w:left="0" w:leftChars="0" w:right="0" w:rightChars="0" w:firstLine="0" w:firstLineChars="0"/>
              <w:jc w:val="left"/>
              <w:textAlignment w:val="center"/>
              <w:rPr>
                <w:rFonts w:asciiTheme="minorEastAsia" w:hAnsiTheme="minorEastAsia" w:eastAsiaTheme="minorEastAsia" w:cstheme="minorEastAsia"/>
                <w:sz w:val="20"/>
                <w:szCs w:val="20"/>
                <w:lang w:eastAsia="zh-CN"/>
              </w:rPr>
            </w:pPr>
            <w:r>
              <w:rPr>
                <w:rFonts w:ascii="宋体" w:hAnsi="宋体" w:cs="宋体"/>
                <w:color w:val="000000"/>
                <w:kern w:val="0"/>
                <w:sz w:val="20"/>
                <w:szCs w:val="20"/>
                <w:lang w:bidi="ar"/>
              </w:rPr>
              <w:t>新建教学楼5000㎡，学生宿舍5000㎡，教师周转房2000㎡，食堂2000㎡，实训基地10000㎡及配套设施，购置教学仪器设备、实训设备。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kinsoku/>
              <w:wordWrap/>
              <w:overflowPunct/>
              <w:topLinePunct w:val="0"/>
              <w:autoSpaceDE/>
              <w:autoSpaceDN/>
              <w:bidi w:val="0"/>
              <w:snapToGrid/>
              <w:spacing w:after="0" w:line="300" w:lineRule="exact"/>
              <w:ind w:left="0" w:leftChars="0" w:right="0" w:rightChars="0" w:firstLine="0" w:firstLineChars="0"/>
              <w:jc w:val="left"/>
              <w:textAlignment w:val="center"/>
              <w:rPr>
                <w:rFonts w:asciiTheme="minorEastAsia" w:hAnsiTheme="minorEastAsia" w:eastAsiaTheme="minorEastAsia" w:cstheme="minorEastAsia"/>
                <w:sz w:val="20"/>
                <w:szCs w:val="20"/>
                <w:lang w:eastAsia="zh-CN"/>
              </w:rPr>
            </w:pPr>
            <w:r>
              <w:rPr>
                <w:rFonts w:hint="eastAsia" w:ascii="宋体" w:hAnsi="宋体" w:cs="宋体"/>
                <w:color w:val="000000"/>
                <w:kern w:val="0"/>
                <w:sz w:val="20"/>
                <w:szCs w:val="20"/>
                <w:lang w:bidi="ar"/>
              </w:rPr>
              <w:t>河北巴州生态产业园快递物流分拨中心建设项目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kinsoku/>
              <w:wordWrap/>
              <w:overflowPunct/>
              <w:topLinePunct w:val="0"/>
              <w:autoSpaceDE/>
              <w:autoSpaceDN/>
              <w:bidi w:val="0"/>
              <w:snapToGrid/>
              <w:spacing w:after="0" w:line="300" w:lineRule="exact"/>
              <w:ind w:left="0" w:leftChars="0" w:right="0" w:rightChars="0" w:firstLine="0" w:firstLineChars="0"/>
              <w:jc w:val="left"/>
              <w:textAlignment w:val="center"/>
              <w:rPr>
                <w:rFonts w:asciiTheme="minorEastAsia" w:hAnsiTheme="minorEastAsia" w:eastAsiaTheme="minorEastAsia" w:cstheme="minorEastAsia"/>
                <w:sz w:val="20"/>
                <w:szCs w:val="20"/>
                <w:lang w:eastAsia="zh-CN"/>
              </w:rPr>
            </w:pPr>
            <w:r>
              <w:rPr>
                <w:rFonts w:hint="eastAsia" w:ascii="宋体" w:hAnsi="宋体" w:cs="宋体"/>
                <w:color w:val="000000"/>
                <w:kern w:val="0"/>
                <w:sz w:val="20"/>
                <w:szCs w:val="20"/>
                <w:lang w:bidi="ar"/>
              </w:rPr>
              <w:t>建设配送中心5000㎡、办公场所及相关配套设施等。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kinsoku/>
              <w:wordWrap/>
              <w:overflowPunct/>
              <w:topLinePunct w:val="0"/>
              <w:autoSpaceDE/>
              <w:autoSpaceDN/>
              <w:bidi w:val="0"/>
              <w:snapToGrid/>
              <w:spacing w:after="0" w:line="300" w:lineRule="exact"/>
              <w:ind w:left="0" w:leftChars="0" w:right="0" w:rightChars="0" w:firstLine="0" w:firstLineChars="0"/>
              <w:jc w:val="left"/>
              <w:textAlignment w:val="center"/>
              <w:rPr>
                <w:rFonts w:asciiTheme="minorEastAsia" w:hAnsiTheme="minorEastAsia" w:eastAsiaTheme="minorEastAsia" w:cstheme="minorEastAsia"/>
                <w:sz w:val="20"/>
                <w:szCs w:val="20"/>
                <w:lang w:eastAsia="zh-CN"/>
              </w:rPr>
            </w:pPr>
            <w:r>
              <w:rPr>
                <w:rFonts w:ascii="宋体" w:hAnsi="宋体" w:cs="宋体"/>
                <w:color w:val="000000"/>
                <w:kern w:val="0"/>
                <w:sz w:val="20"/>
                <w:szCs w:val="20"/>
                <w:lang w:bidi="ar"/>
              </w:rPr>
              <w:t>河北巴州生态产业园文化广场建设项目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kinsoku/>
              <w:wordWrap/>
              <w:overflowPunct/>
              <w:topLinePunct w:val="0"/>
              <w:autoSpaceDE/>
              <w:autoSpaceDN/>
              <w:bidi w:val="0"/>
              <w:snapToGrid/>
              <w:spacing w:after="0" w:line="300" w:lineRule="exact"/>
              <w:ind w:left="0" w:leftChars="0" w:right="0" w:rightChars="0" w:firstLine="0" w:firstLineChars="0"/>
              <w:jc w:val="left"/>
              <w:textAlignment w:val="center"/>
              <w:rPr>
                <w:rFonts w:asciiTheme="minorEastAsia" w:hAnsiTheme="minorEastAsia" w:eastAsiaTheme="minorEastAsia" w:cstheme="minorEastAsia"/>
                <w:sz w:val="20"/>
                <w:szCs w:val="20"/>
                <w:lang w:eastAsia="zh-CN"/>
              </w:rPr>
            </w:pPr>
            <w:r>
              <w:rPr>
                <w:rFonts w:ascii="宋体" w:hAnsi="宋体" w:cs="宋体"/>
                <w:color w:val="000000"/>
                <w:kern w:val="0"/>
                <w:sz w:val="20"/>
                <w:szCs w:val="20"/>
                <w:lang w:bidi="ar"/>
              </w:rPr>
              <w:t>新建4000㎡全民健身广场，包括灯光篮球场、羽毛球场各2个，兵乓球桌4个，健身器材2套 ，场地硬化、休闲健身便道、跑道、休闲椅、公共服务设施等；占地20亩休闲公园，包括植树、种草、景观小品、小景观湖、休闲椅等。(结合48万立方米中水池)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kinsoku/>
              <w:wordWrap/>
              <w:overflowPunct/>
              <w:topLinePunct w:val="0"/>
              <w:autoSpaceDE/>
              <w:autoSpaceDN/>
              <w:bidi w:val="0"/>
              <w:snapToGrid/>
              <w:spacing w:after="0" w:line="300" w:lineRule="exact"/>
              <w:ind w:left="0" w:leftChars="0" w:right="0" w:rightChars="0" w:firstLine="0" w:firstLineChars="0"/>
              <w:jc w:val="left"/>
              <w:textAlignment w:val="center"/>
              <w:rPr>
                <w:rFonts w:asciiTheme="minorEastAsia" w:hAnsiTheme="minorEastAsia" w:eastAsiaTheme="minorEastAsia" w:cstheme="minorEastAsia"/>
                <w:sz w:val="20"/>
                <w:szCs w:val="20"/>
                <w:lang w:eastAsia="zh-CN"/>
              </w:rPr>
            </w:pPr>
            <w:r>
              <w:rPr>
                <w:rFonts w:hint="eastAsia" w:ascii="宋体" w:hAnsi="宋体" w:cs="宋体"/>
                <w:color w:val="000000"/>
                <w:kern w:val="0"/>
                <w:sz w:val="20"/>
                <w:szCs w:val="20"/>
                <w:lang w:bidi="ar"/>
              </w:rPr>
              <w:t>河北巴州生态产业园综合文化中心建设项目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keepNext w:val="0"/>
              <w:keepLines w:val="0"/>
              <w:pageBreakBefore w:val="0"/>
              <w:widowControl/>
              <w:kinsoku/>
              <w:wordWrap/>
              <w:overflowPunct/>
              <w:topLinePunct w:val="0"/>
              <w:autoSpaceDE/>
              <w:autoSpaceDN/>
              <w:bidi w:val="0"/>
              <w:snapToGrid/>
              <w:spacing w:after="0" w:line="300" w:lineRule="exact"/>
              <w:ind w:left="0" w:leftChars="0" w:right="0" w:rightChars="0" w:firstLine="0" w:firstLineChars="0"/>
              <w:jc w:val="left"/>
              <w:textAlignment w:val="center"/>
              <w:rPr>
                <w:rFonts w:asciiTheme="minorEastAsia" w:hAnsiTheme="minorEastAsia" w:eastAsiaTheme="minorEastAsia" w:cstheme="minorEastAsia"/>
                <w:sz w:val="20"/>
                <w:szCs w:val="20"/>
                <w:lang w:eastAsia="zh-CN"/>
              </w:rPr>
            </w:pPr>
            <w:r>
              <w:rPr>
                <w:rFonts w:hint="eastAsia" w:ascii="宋体" w:hAnsi="宋体" w:cs="宋体"/>
                <w:color w:val="000000"/>
                <w:kern w:val="0"/>
                <w:sz w:val="20"/>
                <w:szCs w:val="20"/>
                <w:lang w:bidi="ar"/>
              </w:rPr>
              <w:t>建设综合楼1座，包括文化馆、图书馆、体育馆等及相关配套设施。</w:t>
            </w:r>
          </w:p>
        </w:tc>
      </w:tr>
    </w:tbl>
    <w:p>
      <w:pPr>
        <w:rPr>
          <w:rFonts w:hint="default"/>
          <w:lang w:val="en-US" w:eastAsia="zh-CN"/>
        </w:rPr>
      </w:pPr>
      <w:bookmarkStart w:id="247" w:name="_Toc22468"/>
      <w:bookmarkStart w:id="248" w:name="_Toc31417"/>
      <w:bookmarkStart w:id="249" w:name="_Toc25673"/>
      <w:bookmarkStart w:id="250" w:name="_Toc28654"/>
      <w:bookmarkStart w:id="251" w:name="_Toc7545"/>
      <w:bookmarkStart w:id="252" w:name="_Toc16232"/>
      <w:bookmarkStart w:id="253" w:name="_Toc13678"/>
    </w:p>
    <w:p>
      <w:pPr>
        <w:pStyle w:val="7"/>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楷体_GBK" w:hAnsi="方正楷体_GBK" w:eastAsia="方正楷体_GBK" w:cs="方正楷体_GBK"/>
          <w:b w:val="0"/>
          <w:bCs/>
          <w:sz w:val="31"/>
          <w:szCs w:val="31"/>
          <w:lang w:val="en-US" w:eastAsia="zh-CN"/>
        </w:rPr>
      </w:pPr>
      <w:bookmarkStart w:id="254" w:name="_Toc10096"/>
      <w:r>
        <w:rPr>
          <w:rFonts w:hint="default" w:ascii="方正楷体_GBK" w:hAnsi="方正楷体_GBK" w:eastAsia="方正楷体_GBK" w:cs="方正楷体_GBK"/>
          <w:b w:val="0"/>
          <w:bCs/>
          <w:sz w:val="31"/>
          <w:szCs w:val="31"/>
          <w:lang w:val="en-US" w:eastAsia="zh-CN"/>
        </w:rPr>
        <w:t>第四节  加快光伏</w:t>
      </w:r>
      <w:r>
        <w:rPr>
          <w:rFonts w:hint="eastAsia" w:ascii="方正楷体_GBK" w:hAnsi="方正楷体_GBK" w:eastAsia="方正楷体_GBK" w:cs="方正楷体_GBK"/>
          <w:b w:val="0"/>
          <w:bCs/>
          <w:sz w:val="31"/>
          <w:szCs w:val="31"/>
          <w:lang w:val="en-US" w:eastAsia="zh-CN"/>
        </w:rPr>
        <w:t>、矿产、煤层气、红柱石</w:t>
      </w:r>
      <w:r>
        <w:rPr>
          <w:rFonts w:hint="default" w:ascii="方正楷体_GBK" w:hAnsi="方正楷体_GBK" w:eastAsia="方正楷体_GBK" w:cs="方正楷体_GBK"/>
          <w:b w:val="0"/>
          <w:bCs/>
          <w:sz w:val="31"/>
          <w:szCs w:val="31"/>
          <w:lang w:val="en-US" w:eastAsia="zh-CN"/>
        </w:rPr>
        <w:t>等</w:t>
      </w:r>
      <w:r>
        <w:rPr>
          <w:rFonts w:hint="eastAsia" w:ascii="方正楷体_GBK" w:hAnsi="方正楷体_GBK" w:eastAsia="方正楷体_GBK" w:cs="方正楷体_GBK"/>
          <w:b w:val="0"/>
          <w:bCs/>
          <w:sz w:val="31"/>
          <w:szCs w:val="31"/>
          <w:lang w:val="en-US" w:eastAsia="zh-CN"/>
        </w:rPr>
        <w:t>资源</w:t>
      </w:r>
      <w:bookmarkEnd w:id="247"/>
      <w:bookmarkEnd w:id="248"/>
      <w:bookmarkEnd w:id="249"/>
      <w:bookmarkEnd w:id="250"/>
      <w:bookmarkEnd w:id="251"/>
      <w:bookmarkEnd w:id="252"/>
      <w:r>
        <w:rPr>
          <w:rFonts w:hint="eastAsia" w:ascii="方正楷体_GBK" w:hAnsi="方正楷体_GBK" w:eastAsia="方正楷体_GBK" w:cs="方正楷体_GBK"/>
          <w:b w:val="0"/>
          <w:bCs/>
          <w:sz w:val="31"/>
          <w:szCs w:val="31"/>
          <w:lang w:val="en-US" w:eastAsia="zh-CN"/>
        </w:rPr>
        <w:t>开发</w:t>
      </w:r>
      <w:bookmarkEnd w:id="253"/>
      <w:bookmarkEnd w:id="254"/>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color w:val="FF0000"/>
          <w:sz w:val="31"/>
          <w:szCs w:val="31"/>
          <w:lang w:val="en-US" w:eastAsia="zh-CN"/>
        </w:rPr>
      </w:pPr>
      <w:r>
        <w:rPr>
          <w:rFonts w:hint="default" w:ascii="Times New Roman" w:hAnsi="Times New Roman" w:eastAsia="方正仿宋_GBK" w:cs="Times New Roman"/>
          <w:sz w:val="31"/>
          <w:szCs w:val="31"/>
          <w:lang w:val="en-US" w:eastAsia="zh-CN"/>
        </w:rPr>
        <w:t>紧紧抓住光伏产业和市场快速成长的机遇，依托可网上销售</w:t>
      </w:r>
      <w:r>
        <w:rPr>
          <w:rFonts w:hint="eastAsia" w:ascii="Times New Roman" w:hAnsi="Times New Roman" w:eastAsia="方正仿宋_GBK" w:cs="Times New Roman"/>
          <w:sz w:val="31"/>
          <w:szCs w:val="31"/>
          <w:lang w:val="en-US" w:eastAsia="zh-CN"/>
        </w:rPr>
        <w:t>光伏</w:t>
      </w:r>
      <w:r>
        <w:rPr>
          <w:rFonts w:hint="default" w:ascii="Times New Roman" w:hAnsi="Times New Roman" w:eastAsia="方正仿宋_GBK" w:cs="Times New Roman"/>
          <w:sz w:val="31"/>
          <w:szCs w:val="31"/>
          <w:lang w:val="en-US" w:eastAsia="zh-CN"/>
        </w:rPr>
        <w:t>电能优势，重点发展清洁能源项目，用于安排新能源、新材料类企业，形成绿色新型能源项目区。优化能源结构，突破能源瓶颈约束，大力推动光伏等新能源推广应用与产业发展。遵循国家可再生能源整体调控政策，依托已建成的</w:t>
      </w:r>
      <w:r>
        <w:rPr>
          <w:rFonts w:hint="eastAsia" w:ascii="Times New Roman" w:hAnsi="Times New Roman" w:eastAsia="方正仿宋_GBK" w:cs="Times New Roman"/>
          <w:sz w:val="31"/>
          <w:szCs w:val="31"/>
          <w:lang w:val="en-US" w:eastAsia="zh-CN"/>
        </w:rPr>
        <w:t>5家</w:t>
      </w:r>
      <w:r>
        <w:rPr>
          <w:rFonts w:hint="default" w:ascii="Times New Roman" w:hAnsi="Times New Roman" w:eastAsia="方正仿宋_GBK" w:cs="Times New Roman"/>
          <w:sz w:val="31"/>
          <w:szCs w:val="31"/>
          <w:lang w:val="en-US" w:eastAsia="zh-CN"/>
        </w:rPr>
        <w:t>750KV、220KV、110KV变电站有序推进风电、光伏等项目建设，实现新能源高质量发展。树立一批光伏等新能源应用典型，推广一批光伏等新能源技术和产品，提高全民对光伏等能源的认识和应用自觉性，推动资源节约型、环境友好型社会建设</w:t>
      </w:r>
      <w:r>
        <w:rPr>
          <w:rFonts w:hint="eastAsia" w:ascii="Times New Roman" w:hAnsi="Times New Roman" w:eastAsia="方正仿宋_GBK" w:cs="Times New Roman"/>
          <w:sz w:val="31"/>
          <w:szCs w:val="31"/>
          <w:lang w:val="en-US" w:eastAsia="zh-CN"/>
        </w:rPr>
        <w:t>。积极争取国家勘探基金等矿产勘探项目，对县域内的各类矿产进行深入勘探，煤层气、地热资源在“十四五”期间有重大突破，引入矿产企业对霍拉山金、铜、铁、铍、红柱石等金属和非金属矿产资源进行深入勘探，探索环保型矿产开发模式，实施绿色矿山建设，最大限度降低环保危害。提高矿产开发准入门槛，鼓励企业做大做强。坚持“绿水青山就是金山银山”的发展思路，以“绿色勘查和绿色矿山建设”为抓手，在矿产勘查、开发利用和草原生态环境保护治理的全流程中，全面落实循</w:t>
      </w:r>
      <w:r>
        <w:rPr>
          <w:rFonts w:hint="eastAsia" w:ascii="Times New Roman" w:hAnsi="Times New Roman" w:eastAsia="方正仿宋_GBK" w:cs="Times New Roman"/>
          <w:color w:val="auto"/>
          <w:sz w:val="31"/>
          <w:szCs w:val="31"/>
          <w:lang w:val="en-US" w:eastAsia="zh-CN"/>
        </w:rPr>
        <w:t>环</w:t>
      </w:r>
      <w:r>
        <w:rPr>
          <w:rFonts w:hint="eastAsia" w:ascii="Times New Roman" w:hAnsi="Times New Roman" w:eastAsia="方正仿宋_GBK" w:cs="Times New Roman"/>
          <w:sz w:val="31"/>
          <w:szCs w:val="31"/>
          <w:lang w:val="en-US" w:eastAsia="zh-CN"/>
        </w:rPr>
        <w:t>经济发展理念，提高资源综合利用效率，推进资源深加工，加大矿地综合利用，提高资源节约高效利用水平。坚持抓好矿山环境保护和“三废”治理，最大限度地减轻矿业活动对生态环境的污染和破坏，严格落实矿山生态环境治理工作，全面推动矿业绿色发展。落实全面深化改革战略布局，进一步完善矿山生态保护、治理制度建设，全面推动绿色矿山建设。加强砂石料矿、砖瓦用粘土矿管理力度，确保资源得到有效管理，最大限度降低非法采矿行为的发生。尽快实施地热资源风险勘探，确定地热资源总量，为下一步综合开发奠定基础。“十四五”前期完成煤层气的勘探列入自治区勘探基金，由专业勘探队伍实施县域内煤层气全方位勘探，全面掌握我县煤层气储气区块、地层、储量，形成高质量勘探报告，为下一步招商工作奠定基础；加大对红柱石矿的技改支持，提高品位扩大产能，占据全国红柱石市场主要份额，力争规划期末年产量达到8万吨以上；积极招商引资，努力在霍拉山铜矿、金矿勘探开发上有所突破，力争在规划期末实现矿产资源招拍挂；根据我县基础设施建设的需要，在规划期内完成3个砂石料矿、1个碎石料矿的矿权出让和采矿证办理工作，为县域基础设施建设奠定基础，同时加大对非法开采砂石料的管理力度，坚决杜绝非法开采行为。</w:t>
      </w:r>
    </w:p>
    <w:p>
      <w:pPr>
        <w:rPr>
          <w:rFonts w:hint="default"/>
          <w:lang w:val="en-US" w:eastAsia="zh-CN"/>
        </w:rPr>
      </w:pPr>
      <w:bookmarkStart w:id="255" w:name="_Toc16602"/>
      <w:bookmarkStart w:id="256" w:name="_Toc16418"/>
      <w:bookmarkStart w:id="257" w:name="_Toc6760"/>
    </w:p>
    <w:tbl>
      <w:tblPr>
        <w:tblStyle w:val="14"/>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4"/>
        <w:gridCol w:w="6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60" w:type="dxa"/>
            <w:gridSpan w:val="2"/>
            <w:tcBorders>
              <w:top w:val="thinThickSmallGap" w:color="auto" w:sz="24" w:space="0"/>
              <w:left w:val="thinThickSmallGap" w:color="auto" w:sz="24" w:space="0"/>
              <w:bottom w:val="thinThickSmallGap" w:color="auto" w:sz="24" w:space="0"/>
              <w:right w:val="thinThickSmallGap" w:color="auto" w:sz="24" w:space="0"/>
            </w:tcBorders>
          </w:tcPr>
          <w:p>
            <w:pPr>
              <w:rPr>
                <w:lang w:eastAsia="zh-CN"/>
              </w:rPr>
            </w:pPr>
            <w:bookmarkStart w:id="258" w:name="_Toc26666"/>
            <w:bookmarkStart w:id="259" w:name="_Toc4449"/>
            <w:bookmarkStart w:id="260" w:name="_Toc20578"/>
            <w:bookmarkStart w:id="261" w:name="_Toc8670"/>
            <w:r>
              <w:rPr>
                <w:rFonts w:hint="eastAsia" w:ascii="方正黑体_GBK" w:hAnsi="方正黑体_GBK" w:eastAsia="方正黑体_GBK" w:cs="方正黑体_GBK"/>
                <w:lang w:eastAsia="zh-CN"/>
              </w:rPr>
              <w:t>专栏：</w:t>
            </w:r>
            <w:r>
              <w:rPr>
                <w:rFonts w:hint="eastAsia" w:ascii="方正黑体_GBK" w:hAnsi="方正黑体_GBK" w:eastAsia="方正黑体_GBK" w:cs="方正黑体_GBK"/>
              </w:rPr>
              <w:t>项目支撑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jc w:val="both"/>
              <w:rPr>
                <w:lang w:eastAsia="zh-CN"/>
              </w:rPr>
            </w:pPr>
            <w:r>
              <w:rPr>
                <w:rFonts w:hint="eastAsia"/>
                <w:lang w:eastAsia="zh-CN"/>
              </w:rPr>
              <w:t>焉耆县煤层气矿产资源政府勘探基金项目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jc w:val="both"/>
              <w:rPr>
                <w:lang w:eastAsia="zh-CN"/>
              </w:rPr>
            </w:pPr>
            <w:r>
              <w:rPr>
                <w:rFonts w:hint="eastAsia"/>
                <w:lang w:eastAsia="zh-CN"/>
              </w:rPr>
              <w:t>积极争取自治区煤层气矿产资源政府勘探基金项目3000万元，完成县域内煤层气资源的勘探。</w:t>
            </w:r>
          </w:p>
        </w:tc>
      </w:tr>
    </w:tbl>
    <w:p>
      <w:pPr>
        <w:rPr>
          <w:rFonts w:hint="default"/>
          <w:lang w:val="en-US" w:eastAsia="zh-CN"/>
        </w:rPr>
      </w:pPr>
    </w:p>
    <w:p>
      <w:pPr>
        <w:pStyle w:val="7"/>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楷体_GBK" w:hAnsi="方正楷体_GBK" w:eastAsia="方正楷体_GBK" w:cs="方正楷体_GBK"/>
          <w:b w:val="0"/>
          <w:bCs/>
          <w:sz w:val="31"/>
          <w:szCs w:val="31"/>
          <w:lang w:val="en-US" w:eastAsia="zh-CN"/>
        </w:rPr>
      </w:pPr>
      <w:bookmarkStart w:id="262" w:name="_Toc10531"/>
      <w:r>
        <w:rPr>
          <w:rFonts w:hint="default" w:ascii="方正楷体_GBK" w:hAnsi="方正楷体_GBK" w:eastAsia="方正楷体_GBK" w:cs="方正楷体_GBK"/>
          <w:b w:val="0"/>
          <w:bCs/>
          <w:sz w:val="31"/>
          <w:szCs w:val="31"/>
          <w:lang w:val="en-US" w:eastAsia="zh-CN"/>
        </w:rPr>
        <w:t>第五节  加快新型基础设施建设</w:t>
      </w:r>
      <w:bookmarkEnd w:id="255"/>
      <w:bookmarkEnd w:id="256"/>
      <w:bookmarkEnd w:id="257"/>
      <w:bookmarkEnd w:id="258"/>
      <w:bookmarkEnd w:id="259"/>
      <w:bookmarkEnd w:id="260"/>
      <w:bookmarkEnd w:id="261"/>
      <w:bookmarkEnd w:id="262"/>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zh-CN"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Times New Roman" w:hAnsi="Times New Roman" w:eastAsia="方正仿宋_GBK" w:cs="Times New Roman"/>
          <w:spacing w:val="-11"/>
          <w:sz w:val="31"/>
          <w:szCs w:val="31"/>
          <w:lang w:val="zh-CN" w:eastAsia="zh-CN"/>
        </w:rPr>
      </w:pPr>
      <w:r>
        <w:rPr>
          <w:rFonts w:hint="default" w:ascii="Times New Roman" w:hAnsi="Times New Roman" w:eastAsia="方正仿宋_GBK" w:cs="Times New Roman"/>
          <w:sz w:val="31"/>
          <w:szCs w:val="31"/>
          <w:lang w:val="zh-CN" w:eastAsia="zh-CN"/>
        </w:rPr>
        <w:t>大力推进传感终端、5G网络、大数据中心、北斗导航应用、工业互联网等新型基础设施，利用物联网、边缘计算、人工智能等新一代信息技术，对交通、能源、生态、工业等传统基础设施进行数字化、网络化、智能化改造升级</w:t>
      </w:r>
      <w:r>
        <w:rPr>
          <w:rFonts w:hint="eastAsia" w:ascii="Times New Roman" w:hAnsi="Times New Roman" w:eastAsia="方正仿宋_GBK" w:cs="Times New Roman"/>
          <w:sz w:val="31"/>
          <w:szCs w:val="31"/>
          <w:lang w:val="zh-CN" w:eastAsia="zh-CN"/>
        </w:rPr>
        <w:t>，</w:t>
      </w:r>
      <w:r>
        <w:rPr>
          <w:rFonts w:hint="default" w:ascii="Times New Roman" w:hAnsi="Times New Roman" w:eastAsia="方正仿宋_GBK" w:cs="Times New Roman"/>
          <w:sz w:val="31"/>
          <w:szCs w:val="31"/>
          <w:lang w:val="zh-CN" w:eastAsia="zh-CN"/>
        </w:rPr>
        <w:t>加强大数据的分析使用，为社会提供交通出行、环境保护、健康养老、社会治理、天气预报、防灾减灾等多领域、多样化的大数据服务。立足当前世界科技发展的前沿水平，以新一代数字化技术为依托，通过新型技术产业的应用，催生出大量创新业态，形成新的商业模式，带动新型产业项目快速发展。</w:t>
      </w:r>
      <w:bookmarkStart w:id="263" w:name="_Toc19034"/>
      <w:r>
        <w:rPr>
          <w:rFonts w:hint="eastAsia" w:ascii="Times New Roman" w:hAnsi="Times New Roman" w:eastAsia="方正仿宋_GBK" w:cs="Times New Roman"/>
          <w:sz w:val="31"/>
          <w:szCs w:val="31"/>
          <w:lang w:val="zh-CN" w:eastAsia="zh-CN"/>
        </w:rPr>
        <w:t>在城市基础设施规划、建设和运营中要充分考虑最大程度地利用信息技术，优先要推广物联网感知设施在城市基础设施上应用，预留感知设施连接4G/5G、光纤网络的接口，全面实现城市基础设施数字化和联网化。以车联网、智能网联汽车、无人驾驶为导向，加快路侧通信设备安装、完善5G/LTE-V2X网络环境，积极推广利用传感、采集等设备加快道路、信号灯、道路标识等交通基础设施信</w:t>
      </w:r>
      <w:r>
        <w:rPr>
          <w:rFonts w:hint="eastAsia" w:ascii="Times New Roman" w:hAnsi="Times New Roman" w:eastAsia="方正仿宋_GBK" w:cs="Times New Roman"/>
          <w:spacing w:val="-11"/>
          <w:sz w:val="31"/>
          <w:szCs w:val="31"/>
          <w:lang w:val="zh-CN" w:eastAsia="zh-CN"/>
        </w:rPr>
        <w:t>息化改造进程，实现交通设施全部联网化，打造智能化的道路环境。</w:t>
      </w:r>
    </w:p>
    <w:p>
      <w:pPr>
        <w:rPr>
          <w:rFonts w:hint="default"/>
          <w:lang w:val="zh-CN" w:eastAsia="zh-CN"/>
        </w:rPr>
      </w:pPr>
    </w:p>
    <w:tbl>
      <w:tblPr>
        <w:tblStyle w:val="15"/>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4"/>
        <w:gridCol w:w="6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60" w:type="dxa"/>
            <w:gridSpan w:val="2"/>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jc w:val="both"/>
            </w:pPr>
            <w:r>
              <w:rPr>
                <w:rFonts w:hint="eastAsia" w:ascii="方正黑体_GBK" w:hAnsi="方正黑体_GBK" w:eastAsia="方正黑体_GBK" w:cs="方正黑体_GBK"/>
                <w:lang w:eastAsia="zh-CN"/>
              </w:rPr>
              <w:t>专栏：项目支撑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jc w:val="both"/>
              <w:rPr>
                <w:lang w:eastAsia="zh-CN"/>
              </w:rPr>
            </w:pPr>
            <w:r>
              <w:rPr>
                <w:rFonts w:hint="eastAsia"/>
                <w:lang w:eastAsia="zh-CN"/>
              </w:rPr>
              <w:t>焉耆县“</w:t>
            </w:r>
            <w:r>
              <w:rPr>
                <w:lang w:eastAsia="zh-CN"/>
              </w:rPr>
              <w:t>新基建（5G、城市光纤）+新型智慧城市</w:t>
            </w:r>
            <w:r>
              <w:rPr>
                <w:rFonts w:hint="eastAsia"/>
                <w:lang w:eastAsia="zh-CN"/>
              </w:rPr>
              <w:t>”</w:t>
            </w:r>
            <w:r>
              <w:rPr>
                <w:lang w:eastAsia="zh-CN"/>
              </w:rPr>
              <w:t>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spacing w:after="0" w:line="240" w:lineRule="auto"/>
              <w:rPr>
                <w:lang w:eastAsia="zh-CN"/>
              </w:rPr>
            </w:pPr>
            <w:r>
              <w:rPr>
                <w:lang w:eastAsia="zh-CN"/>
              </w:rPr>
              <w:t>三大电信运营商，五年内对</w:t>
            </w:r>
            <w:r>
              <w:rPr>
                <w:rFonts w:hint="eastAsia"/>
                <w:lang w:eastAsia="zh-CN"/>
              </w:rPr>
              <w:t>县</w:t>
            </w:r>
            <w:r>
              <w:rPr>
                <w:lang w:eastAsia="zh-CN"/>
              </w:rPr>
              <w:t>域</w:t>
            </w:r>
            <w:r>
              <w:rPr>
                <w:rFonts w:hint="eastAsia"/>
                <w:lang w:eastAsia="zh-CN"/>
              </w:rPr>
              <w:t>内</w:t>
            </w:r>
            <w:r>
              <w:rPr>
                <w:lang w:eastAsia="zh-CN"/>
              </w:rPr>
              <w:t>的5G、4G、NB-loT（基于蜂窝的窄带物联网）无线网络；骨干网、城市光纤网、IPV6改造等基础设施改造，对“新基建+”信息应用服务平台所需云平台、大数据平台基础资源进行建设项目。</w:t>
            </w:r>
          </w:p>
        </w:tc>
      </w:tr>
    </w:tbl>
    <w:p>
      <w:pPr>
        <w:rPr>
          <w:rFonts w:hint="default"/>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黑体_GBK" w:hAnsi="方正黑体_GBK" w:eastAsia="方正黑体_GBK" w:cs="方正黑体_GBK"/>
          <w:b w:val="0"/>
          <w:bCs w:val="0"/>
          <w:sz w:val="31"/>
          <w:szCs w:val="31"/>
          <w:lang w:val="zh-CN" w:eastAsia="zh-CN"/>
        </w:rPr>
      </w:pPr>
      <w:bookmarkStart w:id="264" w:name="_Toc20023"/>
      <w:bookmarkStart w:id="265" w:name="_Toc8496"/>
      <w:bookmarkStart w:id="266" w:name="_Toc5359"/>
      <w:bookmarkStart w:id="267" w:name="_Toc6917"/>
      <w:bookmarkStart w:id="268" w:name="_Toc24625"/>
      <w:r>
        <w:rPr>
          <w:rFonts w:hint="default" w:ascii="方正黑体_GBK" w:hAnsi="方正黑体_GBK" w:eastAsia="方正黑体_GBK" w:cs="方正黑体_GBK"/>
          <w:b w:val="0"/>
          <w:bCs w:val="0"/>
          <w:sz w:val="31"/>
          <w:szCs w:val="31"/>
          <w:lang w:val="en-US" w:eastAsia="zh-CN"/>
        </w:rPr>
        <w:t xml:space="preserve">第七章  </w:t>
      </w:r>
      <w:r>
        <w:rPr>
          <w:rFonts w:hint="default" w:ascii="方正黑体_GBK" w:hAnsi="方正黑体_GBK" w:eastAsia="方正黑体_GBK" w:cs="方正黑体_GBK"/>
          <w:b w:val="0"/>
          <w:bCs w:val="0"/>
          <w:sz w:val="31"/>
          <w:szCs w:val="31"/>
          <w:lang w:val="zh-CN" w:eastAsia="zh-CN"/>
        </w:rPr>
        <w:t>坚持农业农村优先发展，</w:t>
      </w:r>
      <w:r>
        <w:rPr>
          <w:rFonts w:hint="default" w:ascii="方正黑体_GBK" w:hAnsi="方正黑体_GBK" w:eastAsia="方正黑体_GBK" w:cs="方正黑体_GBK"/>
          <w:b w:val="0"/>
          <w:bCs w:val="0"/>
          <w:sz w:val="31"/>
          <w:szCs w:val="31"/>
          <w:lang w:val="en-US" w:eastAsia="zh-CN"/>
        </w:rPr>
        <w:t>深入</w:t>
      </w:r>
      <w:r>
        <w:rPr>
          <w:rFonts w:hint="default" w:ascii="方正黑体_GBK" w:hAnsi="方正黑体_GBK" w:eastAsia="方正黑体_GBK" w:cs="方正黑体_GBK"/>
          <w:b w:val="0"/>
          <w:bCs w:val="0"/>
          <w:sz w:val="31"/>
          <w:szCs w:val="31"/>
          <w:lang w:val="zh-CN" w:eastAsia="zh-CN"/>
        </w:rPr>
        <w:t>实施乡村振兴战略</w:t>
      </w:r>
      <w:bookmarkEnd w:id="263"/>
      <w:bookmarkEnd w:id="264"/>
      <w:bookmarkEnd w:id="265"/>
      <w:bookmarkEnd w:id="266"/>
      <w:bookmarkEnd w:id="267"/>
      <w:bookmarkEnd w:id="268"/>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zh-CN" w:eastAsia="zh-CN"/>
        </w:rPr>
      </w:pPr>
      <w:r>
        <w:rPr>
          <w:rFonts w:hint="default" w:ascii="Times New Roman" w:hAnsi="Times New Roman" w:eastAsia="方正仿宋_GBK" w:cs="Times New Roman"/>
          <w:sz w:val="31"/>
          <w:szCs w:val="31"/>
          <w:lang w:val="en-US" w:eastAsia="zh-CN"/>
        </w:rPr>
        <w:t>推动全面脱贫与乡村振兴有效衔接，增加对农业农村基础设施建设投入，加快城乡基础设施互联互通，</w:t>
      </w:r>
      <w:r>
        <w:rPr>
          <w:rFonts w:hint="default" w:ascii="Times New Roman" w:hAnsi="Times New Roman" w:eastAsia="方正仿宋_GBK" w:cs="Times New Roman"/>
          <w:sz w:val="31"/>
          <w:szCs w:val="31"/>
          <w:lang w:val="zh-CN" w:eastAsia="zh-CN"/>
        </w:rPr>
        <w:t>加快补齐农业农村发展短板，不断缩小城乡差距，</w:t>
      </w:r>
      <w:r>
        <w:rPr>
          <w:rFonts w:hint="default" w:ascii="Times New Roman" w:hAnsi="Times New Roman" w:eastAsia="方正仿宋_GBK" w:cs="Times New Roman"/>
          <w:sz w:val="31"/>
          <w:szCs w:val="31"/>
          <w:lang w:val="en-US" w:eastAsia="zh-CN"/>
        </w:rPr>
        <w:t>开启城乡融合发展新局面。</w:t>
      </w:r>
    </w:p>
    <w:p>
      <w:pPr>
        <w:rPr>
          <w:rFonts w:hint="default"/>
          <w:lang w:val="en-US" w:eastAsia="zh-CN"/>
        </w:rPr>
      </w:pPr>
      <w:bookmarkStart w:id="269" w:name="_Toc17385"/>
    </w:p>
    <w:p>
      <w:pPr>
        <w:pStyle w:val="7"/>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楷体_GBK" w:hAnsi="方正楷体_GBK" w:eastAsia="方正楷体_GBK" w:cs="方正楷体_GBK"/>
          <w:b w:val="0"/>
          <w:bCs/>
          <w:sz w:val="31"/>
          <w:szCs w:val="31"/>
          <w:lang w:val="en-US" w:eastAsia="zh-CN"/>
        </w:rPr>
      </w:pPr>
      <w:bookmarkStart w:id="270" w:name="_Toc3435"/>
      <w:bookmarkStart w:id="271" w:name="_Toc2788"/>
      <w:bookmarkStart w:id="272" w:name="_Toc11379"/>
      <w:bookmarkStart w:id="273" w:name="_Toc26335"/>
      <w:bookmarkStart w:id="274" w:name="_Toc31795"/>
      <w:r>
        <w:rPr>
          <w:rFonts w:hint="default" w:ascii="方正楷体_GBK" w:hAnsi="方正楷体_GBK" w:eastAsia="方正楷体_GBK" w:cs="方正楷体_GBK"/>
          <w:b w:val="0"/>
          <w:bCs/>
          <w:sz w:val="31"/>
          <w:szCs w:val="31"/>
          <w:lang w:val="en-US" w:eastAsia="zh-CN"/>
        </w:rPr>
        <w:t>第一节  落实落细农村“三项重点工作”</w:t>
      </w:r>
      <w:bookmarkEnd w:id="269"/>
      <w:bookmarkEnd w:id="270"/>
      <w:bookmarkEnd w:id="271"/>
      <w:bookmarkEnd w:id="272"/>
      <w:bookmarkEnd w:id="273"/>
      <w:bookmarkEnd w:id="274"/>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抓实抓好庭院经济、防护林建设、农村人居环境整治“三项重点工作”。坚持把发展庭院经济作为促农增收的源头活水，不断打造一批庭院经济示范村、示范户，逐步形成可看可摘、生态宜居、产游结合的农村庭院经济。</w:t>
      </w:r>
      <w:bookmarkStart w:id="275" w:name="_Toc10244"/>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b/>
          <w:bCs/>
          <w:sz w:val="31"/>
          <w:szCs w:val="31"/>
          <w:lang w:val="en-US" w:eastAsia="zh-CN"/>
        </w:rPr>
        <w:t>——全面推进庭院经济建设。</w:t>
      </w:r>
      <w:r>
        <w:rPr>
          <w:rFonts w:hint="eastAsia" w:ascii="Times New Roman" w:hAnsi="Times New Roman" w:eastAsia="方正仿宋_GBK" w:cs="Times New Roman"/>
          <w:sz w:val="31"/>
          <w:szCs w:val="31"/>
          <w:lang w:val="en-US" w:eastAsia="zh-CN"/>
        </w:rPr>
        <w:t>秉持“小庭院大经济”理念，把发展庭院经济作为振兴农村产业发展、促进农民增收的重要渠道和稳定脱贫的重要载体与抓手，以发展 “六化” 模式为导向，持续推进庭院“7+X”建设和庭院“四区分离”，合理庭院空间布局，做细做实“一户一图、一户一策”。积极引导农民大力发展牛羊、兔子、鸽子、土鸡等“天上飞的、地上跑的”多样性庭院养殖业；庭院种植以发展林果业为主，实现庭院林果满园，打造“一乡一特”“一村一品”庭院经济，推动庭院经济规模化、标准化、产业化发展，使农户房前屋后“方寸地”变为增收致富“聚宝盆”。</w:t>
      </w:r>
      <w:r>
        <w:rPr>
          <w:rFonts w:hint="eastAsia" w:ascii="Times New Roman" w:hAnsi="Times New Roman" w:eastAsia="方正仿宋_GBK" w:cs="Times New Roman"/>
          <w:sz w:val="32"/>
          <w:szCs w:val="32"/>
        </w:rPr>
        <w:t xml:space="preserve">到2025年，农村庭院经济覆盖率长期保持在90%以上。庭院养殖量达到50万头只以上，庭院特色林果业种植面积达到5000亩以上，庭院小拱棚达到500座以上。庭院经济收入在农牧民人均收入中贡献1000元以上；庭院经济收入10000元以上的农户达到10000户以上；庭院经济总产值达到5亿元以上。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2" w:firstLineChars="200"/>
        <w:jc w:val="both"/>
        <w:textAlignment w:val="auto"/>
        <w:outlineLvl w:val="9"/>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b/>
          <w:bCs/>
          <w:sz w:val="31"/>
          <w:szCs w:val="31"/>
          <w:lang w:val="en-US" w:eastAsia="zh-CN"/>
        </w:rPr>
        <w:t>——全面推进</w:t>
      </w:r>
      <w:r>
        <w:rPr>
          <w:rFonts w:hint="default" w:ascii="Times New Roman" w:hAnsi="Times New Roman" w:eastAsia="方正仿宋_GBK" w:cs="Times New Roman"/>
          <w:b/>
          <w:bCs/>
          <w:sz w:val="31"/>
          <w:szCs w:val="31"/>
          <w:lang w:val="en-US" w:eastAsia="zh-CN"/>
        </w:rPr>
        <w:t>防护林建设</w:t>
      </w:r>
      <w:r>
        <w:rPr>
          <w:rFonts w:hint="eastAsia" w:ascii="Times New Roman" w:hAnsi="Times New Roman" w:eastAsia="方正仿宋_GBK" w:cs="Times New Roman"/>
          <w:b/>
          <w:bCs/>
          <w:sz w:val="31"/>
          <w:szCs w:val="31"/>
          <w:lang w:val="en-US" w:eastAsia="zh-CN"/>
        </w:rPr>
        <w:t>。</w:t>
      </w:r>
      <w:r>
        <w:rPr>
          <w:rFonts w:hint="eastAsia" w:ascii="Times New Roman" w:hAnsi="Times New Roman" w:eastAsia="方正仿宋_GBK" w:cs="Times New Roman"/>
          <w:sz w:val="31"/>
          <w:szCs w:val="31"/>
          <w:lang w:val="en-US" w:eastAsia="zh-CN"/>
        </w:rPr>
        <w:t>坚持规划先行，按照“有路必有林、有林必成网”的要求，加快推进农田防护林建设。</w:t>
      </w:r>
      <w:r>
        <w:rPr>
          <w:rFonts w:hint="default" w:ascii="Times New Roman" w:hAnsi="Times New Roman" w:eastAsia="方正仿宋_GBK" w:cs="Times New Roman"/>
          <w:sz w:val="31"/>
          <w:szCs w:val="31"/>
          <w:lang w:val="en-US" w:eastAsia="zh-CN"/>
        </w:rPr>
        <w:t>通过建设以</w:t>
      </w:r>
      <w:r>
        <w:rPr>
          <w:rFonts w:hint="eastAsia" w:ascii="Times New Roman" w:hAnsi="Times New Roman" w:eastAsia="方正仿宋_GBK" w:cs="Times New Roman"/>
          <w:sz w:val="31"/>
          <w:szCs w:val="31"/>
          <w:lang w:val="en-US" w:eastAsia="zh-CN"/>
        </w:rPr>
        <w:t>农田防护</w:t>
      </w:r>
      <w:r>
        <w:rPr>
          <w:rFonts w:hint="default" w:ascii="Times New Roman" w:hAnsi="Times New Roman" w:eastAsia="方正仿宋_GBK" w:cs="Times New Roman"/>
          <w:sz w:val="31"/>
          <w:szCs w:val="31"/>
          <w:lang w:val="en-US" w:eastAsia="zh-CN"/>
        </w:rPr>
        <w:t>林为主的生态工程，</w:t>
      </w:r>
      <w:r>
        <w:rPr>
          <w:rFonts w:hint="eastAsia" w:ascii="Times New Roman" w:hAnsi="Times New Roman" w:eastAsia="方正仿宋_GBK" w:cs="Times New Roman"/>
          <w:sz w:val="31"/>
          <w:szCs w:val="31"/>
          <w:lang w:val="en-US" w:eastAsia="zh-CN"/>
        </w:rPr>
        <w:t>营造道路防护林、新造防护林，增加林地面积，优化生态环境，</w:t>
      </w:r>
      <w:r>
        <w:rPr>
          <w:rFonts w:hint="default" w:ascii="Times New Roman" w:hAnsi="Times New Roman" w:eastAsia="方正仿宋_GBK" w:cs="Times New Roman"/>
          <w:sz w:val="31"/>
          <w:szCs w:val="31"/>
          <w:lang w:val="en-US" w:eastAsia="zh-CN"/>
        </w:rPr>
        <w:t>提高</w:t>
      </w:r>
      <w:r>
        <w:rPr>
          <w:rFonts w:hint="eastAsia" w:ascii="Times New Roman" w:hAnsi="Times New Roman" w:eastAsia="方正仿宋_GBK" w:cs="Times New Roman"/>
          <w:sz w:val="31"/>
          <w:szCs w:val="31"/>
          <w:lang w:val="en-US" w:eastAsia="zh-CN"/>
        </w:rPr>
        <w:t>农田防护效益，促进农民增收。</w:t>
      </w:r>
      <w:r>
        <w:rPr>
          <w:rFonts w:hint="eastAsia" w:ascii="Times New Roman" w:hAnsi="Times New Roman" w:eastAsia="方正仿宋_GBK" w:cs="Times New Roman"/>
          <w:sz w:val="32"/>
          <w:szCs w:val="32"/>
        </w:rPr>
        <w:t>“十四五”</w:t>
      </w:r>
      <w:r>
        <w:rPr>
          <w:rFonts w:hint="eastAsia" w:ascii="Times New Roman" w:hAnsi="Times New Roman" w:eastAsia="方正仿宋_GBK" w:cs="Times New Roman"/>
          <w:sz w:val="32"/>
          <w:szCs w:val="32"/>
          <w:lang w:eastAsia="zh-CN"/>
        </w:rPr>
        <w:t>末，</w:t>
      </w:r>
      <w:r>
        <w:rPr>
          <w:rFonts w:hint="eastAsia" w:ascii="Times New Roman" w:hAnsi="Times New Roman" w:eastAsia="方正仿宋_GBK" w:cs="Times New Roman"/>
          <w:sz w:val="32"/>
          <w:szCs w:val="32"/>
        </w:rPr>
        <w:t>新增农田防护林5万亩以上</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1"/>
          <w:szCs w:val="31"/>
          <w:lang w:val="en-US" w:eastAsia="zh-CN"/>
        </w:rPr>
        <w:t>新增道路防护林、新造防护林和残次林更新2.84万亩。</w:t>
      </w:r>
    </w:p>
    <w:p>
      <w:pPr>
        <w:snapToGrid w:val="0"/>
        <w:spacing w:line="560" w:lineRule="exact"/>
        <w:ind w:firstLine="622" w:firstLineChars="200"/>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b/>
          <w:bCs/>
          <w:sz w:val="31"/>
          <w:szCs w:val="31"/>
          <w:lang w:val="en-US" w:eastAsia="zh-CN"/>
        </w:rPr>
        <w:t>——改善农村人居环境。</w:t>
      </w:r>
      <w:r>
        <w:rPr>
          <w:rFonts w:hint="eastAsia" w:ascii="Times New Roman" w:hAnsi="Times New Roman" w:eastAsia="方正仿宋_GBK" w:cs="Times New Roman"/>
          <w:sz w:val="31"/>
          <w:szCs w:val="31"/>
          <w:lang w:val="en-US" w:eastAsia="zh-CN"/>
        </w:rPr>
        <w:t>进一步加快推进农村垃圾治理，以农村院里院外“六件事”为重点，常态化开展村庄清洁行动，持续整治清理农户房前屋后、村内巷道、沿村公路、村道沿线、河边沟渠、文化活动广场、学校、巴扎等公共场所垃圾。建立健全“户集、村收、乡镇运转、县处理”的城乡统筹生活垃圾收运处理体系；积极推进农村生活垃圾分类工作；全面落实“门前三包”责任制；逐步</w:t>
      </w:r>
      <w:r>
        <w:rPr>
          <w:rFonts w:hint="eastAsia" w:ascii="Times New Roman" w:hAnsi="Times New Roman" w:eastAsia="方正仿宋_GBK" w:cs="Times New Roman"/>
          <w:spacing w:val="-11"/>
          <w:sz w:val="31"/>
          <w:szCs w:val="31"/>
          <w:lang w:val="en-US" w:eastAsia="zh-CN"/>
        </w:rPr>
        <w:t>推广垃圾清运农户收费制度，营造规范有序、文明和谐的生活环境。</w:t>
      </w:r>
    </w:p>
    <w:p>
      <w:pPr>
        <w:snapToGrid w:val="0"/>
        <w:spacing w:line="560" w:lineRule="exact"/>
        <w:ind w:firstLine="62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1"/>
          <w:szCs w:val="31"/>
          <w:lang w:val="en-US" w:eastAsia="zh-CN"/>
        </w:rPr>
        <w:t>“十四五”末，农村垃圾处理达到全覆盖，力争打造农村垃圾分类示范村1—2个。进一步加快推进农村污水处理。扎实开展农村水环境治理，全面贯彻落实河长制，深入推进“清四乱”专项行动，加强污水坑、排水沟和废弃涝坝的治理工作和房前屋后河塘沟渠清淤疏浚。突出抓好居民点污水治理。力争将2个以上城郊村污水排放纳入城镇管网集中处理，其余村加快建设农村污水处理设施，打造农村污水处理示范村2—4个。进一步加快推进农村厕所改造。按照自治区“三防两有”的卫生厕所建设标准，加强农村户厕改造，提高新建农村安居房室内卫生厕所使用率。同时，严格改厕质量和标准，确保“建一个、成一个、用一个、一年四季都能用”。统筹建设农村公厕，在巴扎、集市等人员密集场所配套建设公共厕所。农村卫生户厕普及率达到95%以上，力争实现行政村公共厕所和乡村旅游景点公共厕所全覆盖。全面提升村容村貌。扎实推动“四好农村路”建设，重点推进村组入户道路建设，农村主要道路硬化率达100%。</w:t>
      </w:r>
    </w:p>
    <w:p>
      <w:pPr>
        <w:rPr>
          <w:rFonts w:hint="default"/>
          <w:lang w:val="en-US" w:eastAsia="zh-CN"/>
        </w:rPr>
      </w:pPr>
    </w:p>
    <w:tbl>
      <w:tblPr>
        <w:tblStyle w:val="15"/>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4"/>
        <w:gridCol w:w="6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60" w:type="dxa"/>
            <w:gridSpan w:val="2"/>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jc w:val="both"/>
            </w:pPr>
            <w:r>
              <w:rPr>
                <w:rFonts w:hint="eastAsia" w:ascii="方正黑体_GBK" w:hAnsi="方正黑体_GBK" w:eastAsia="方正黑体_GBK" w:cs="方正黑体_GBK"/>
                <w:lang w:eastAsia="zh-CN"/>
              </w:rPr>
              <w:t>专栏：</w:t>
            </w:r>
            <w:r>
              <w:rPr>
                <w:rFonts w:hint="eastAsia" w:ascii="方正黑体_GBK" w:hAnsi="方正黑体_GBK" w:eastAsia="方正黑体_GBK" w:cs="方正黑体_GBK"/>
                <w:lang w:eastAsia="en-US"/>
              </w:rPr>
              <w:t>项目支撑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jc w:val="both"/>
            </w:pPr>
            <w:r>
              <w:rPr>
                <w:rFonts w:hint="eastAsia"/>
              </w:rPr>
              <w:t>焉耆县农村人居环境整治项目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jc w:val="both"/>
            </w:pPr>
            <w:r>
              <w:rPr>
                <w:rFonts w:hint="eastAsia"/>
              </w:rPr>
              <w:t>在全县范围内实施农村人居环境整治工程，建立健全“户集、村收、乡镇转运、县处理”的城乡统筹生活垃圾收运处理体系，推进农村“厕所革命”，加大污水处理设施、配套管网等工程建设，实施美丽乡村和庭院经济建设，推进农村畜禽粪污、秸秆等资源化利用，建立健全建设和管护机制，加强村庄规划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jc w:val="both"/>
            </w:pPr>
            <w:r>
              <w:rPr>
                <w:rFonts w:hint="eastAsia"/>
              </w:rPr>
              <w:t>焉耆县农田防护林建设项目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jc w:val="both"/>
            </w:pPr>
            <w:r>
              <w:rPr>
                <w:rFonts w:hint="eastAsia"/>
              </w:rPr>
              <w:t>建设总面积53358.4亩，营造道路防护3336亩，残次低效林改造26814.6亩，采伐更新造林7115.5亩，防护林新造16092.3亩，配套滴灌设施51643.8亩，渠灌系统维护25公里。</w:t>
            </w:r>
          </w:p>
        </w:tc>
      </w:tr>
    </w:tbl>
    <w:p>
      <w:pPr>
        <w:rPr>
          <w:rFonts w:hint="default"/>
          <w:lang w:val="en-US" w:eastAsia="zh-CN"/>
        </w:rPr>
      </w:pPr>
    </w:p>
    <w:p>
      <w:pPr>
        <w:pStyle w:val="7"/>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楷体_GBK" w:hAnsi="方正楷体_GBK" w:eastAsia="方正楷体_GBK" w:cs="方正楷体_GBK"/>
          <w:b w:val="0"/>
          <w:bCs/>
          <w:sz w:val="31"/>
          <w:szCs w:val="31"/>
          <w:lang w:val="en-US" w:eastAsia="zh-CN"/>
        </w:rPr>
      </w:pPr>
      <w:bookmarkStart w:id="276" w:name="_Toc26896"/>
      <w:bookmarkStart w:id="277" w:name="_Toc4774"/>
      <w:bookmarkStart w:id="278" w:name="_Toc6939"/>
      <w:bookmarkStart w:id="279" w:name="_Toc12782"/>
      <w:bookmarkStart w:id="280" w:name="_Toc26503"/>
      <w:r>
        <w:rPr>
          <w:rFonts w:hint="default" w:ascii="方正楷体_GBK" w:hAnsi="方正楷体_GBK" w:eastAsia="方正楷体_GBK" w:cs="方正楷体_GBK"/>
          <w:b w:val="0"/>
          <w:bCs/>
          <w:sz w:val="31"/>
          <w:szCs w:val="31"/>
          <w:lang w:val="en-US" w:eastAsia="zh-CN"/>
        </w:rPr>
        <w:t>第二节  加快推进农业农村现代化</w:t>
      </w:r>
      <w:bookmarkEnd w:id="275"/>
      <w:bookmarkEnd w:id="276"/>
      <w:bookmarkEnd w:id="277"/>
      <w:bookmarkEnd w:id="278"/>
      <w:bookmarkEnd w:id="279"/>
      <w:bookmarkEnd w:id="280"/>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p>
    <w:p>
      <w:pPr>
        <w:snapToGrid w:val="0"/>
        <w:spacing w:line="560" w:lineRule="exact"/>
        <w:ind w:firstLine="620" w:firstLineChars="200"/>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向农业多种功能要效益，推动农村一二三产业融合发展，不断提高现代农业供给质量，更好带动农民就业增收。放大农业比较优势，扩大“三红”和富硒资源产品市场份额。进一步调整完善畜牧业发展规划布局，加快建设万亩养殖基地和两个千亩养殖小区，实现分散养殖向标准化、规模化、集约化养殖转变。大力扶持农民合作社等新型经营主体发展。推行绿色生产方式和生活方式，让良好生态成为乡村振兴的支撑点。健全自治、法治、德治相结合的乡村治理体系，打造善治乡村、平安乡村。</w:t>
      </w:r>
    </w:p>
    <w:p>
      <w:pPr>
        <w:snapToGrid w:val="0"/>
        <w:spacing w:line="560" w:lineRule="exact"/>
        <w:ind w:firstLine="622" w:firstLineChars="200"/>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b/>
          <w:bCs/>
          <w:sz w:val="31"/>
          <w:szCs w:val="31"/>
          <w:lang w:val="en-US" w:eastAsia="zh-CN"/>
        </w:rPr>
        <w:t>——推动发展规模经营。</w:t>
      </w:r>
      <w:r>
        <w:rPr>
          <w:rFonts w:hint="eastAsia" w:ascii="Times New Roman" w:hAnsi="Times New Roman" w:eastAsia="方正仿宋_GBK" w:cs="Times New Roman"/>
          <w:sz w:val="31"/>
          <w:szCs w:val="31"/>
          <w:lang w:val="en-US" w:eastAsia="zh-CN"/>
        </w:rPr>
        <w:t>引导小农从分散的单打独斗式生产向集中连片的群体化生产转变，帮助小农户对接市场、发展联合协作，重点以家庭农场、农民专业合作社、农业产业化联合为主体，着力发展服务带动型规模经营和农业生产性服务，培育种植、农技、农机、农资等专业化服务新型经营组织，推进农业生产全程社会化服务，帮助小农生产节本增效。</w:t>
      </w:r>
    </w:p>
    <w:p>
      <w:pPr>
        <w:snapToGrid w:val="0"/>
        <w:spacing w:line="560" w:lineRule="exact"/>
        <w:ind w:firstLine="622" w:firstLineChars="200"/>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b/>
          <w:bCs/>
          <w:sz w:val="31"/>
          <w:szCs w:val="31"/>
          <w:lang w:val="en-US" w:eastAsia="zh-CN"/>
        </w:rPr>
        <w:t>——强化农产品质量安全监管。</w:t>
      </w:r>
      <w:r>
        <w:rPr>
          <w:rFonts w:hint="eastAsia" w:ascii="Times New Roman" w:hAnsi="Times New Roman" w:eastAsia="方正仿宋_GBK" w:cs="Times New Roman"/>
          <w:sz w:val="31"/>
          <w:szCs w:val="31"/>
          <w:lang w:val="en-US" w:eastAsia="zh-CN"/>
        </w:rPr>
        <w:t>切实发挥农产品质量安全检测机构的技术支撑作用，规范管理乡镇场农产品质量安全检测站，加快农产品质量安全追溯管理平台建设，加强“二品一标”认证与监管，严格按照行业标准对基地生态环境质量和产品加工各环节进行监督管理，严厉打击和依法查处违规销售、使用禁用农业投入品的行为，确保老百姓舌尖上的安全。</w:t>
      </w:r>
    </w:p>
    <w:p>
      <w:pPr>
        <w:snapToGrid w:val="0"/>
        <w:spacing w:line="560" w:lineRule="exact"/>
        <w:ind w:firstLine="622" w:firstLineChars="200"/>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b/>
          <w:bCs/>
          <w:sz w:val="31"/>
          <w:szCs w:val="31"/>
          <w:lang w:val="en-US" w:eastAsia="zh-CN"/>
        </w:rPr>
        <w:t>——实施农业面源污染治理行动。</w:t>
      </w:r>
      <w:r>
        <w:rPr>
          <w:rFonts w:hint="eastAsia" w:ascii="Times New Roman" w:hAnsi="Times New Roman" w:eastAsia="方正仿宋_GBK" w:cs="Times New Roman"/>
          <w:sz w:val="31"/>
          <w:szCs w:val="31"/>
          <w:lang w:val="en-US" w:eastAsia="zh-CN"/>
        </w:rPr>
        <w:t>全面整治农药残留，推广应用生物农药、高效低毒低残留农药，扶持病虫防治专业化服务组织和新型农业经营主体，大规模开展专业化统防统治，推行植保机械与农艺配套，提高防治效率、效果和效益。</w:t>
      </w:r>
    </w:p>
    <w:p>
      <w:pPr>
        <w:snapToGrid w:val="0"/>
        <w:spacing w:line="560" w:lineRule="exact"/>
        <w:ind w:firstLine="622" w:firstLineChars="200"/>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b/>
          <w:bCs/>
          <w:sz w:val="31"/>
          <w:szCs w:val="31"/>
          <w:lang w:val="en-US" w:eastAsia="zh-CN"/>
        </w:rPr>
        <w:t>——大力推进农业废弃物资源化利用。</w:t>
      </w:r>
      <w:r>
        <w:rPr>
          <w:rFonts w:hint="eastAsia" w:ascii="Times New Roman" w:hAnsi="Times New Roman" w:eastAsia="方正仿宋_GBK" w:cs="Times New Roman"/>
          <w:sz w:val="31"/>
          <w:szCs w:val="31"/>
          <w:lang w:val="en-US" w:eastAsia="zh-CN"/>
        </w:rPr>
        <w:t>坚持源头治理、回收利用，加强产地环境保护和农业面源污染治理，推进农作物秸秆、废旧地膜、滴灌材料和农药包装废弃物等回收利用。</w:t>
      </w:r>
    </w:p>
    <w:p>
      <w:pPr>
        <w:keepNext w:val="0"/>
        <w:keepLines w:val="0"/>
        <w:pageBreakBefore w:val="0"/>
        <w:widowControl w:val="0"/>
        <w:pBdr>
          <w:top w:val="none" w:color="000000" w:sz="0" w:space="0"/>
          <w:left w:val="none" w:color="000000" w:sz="0" w:space="0"/>
          <w:bottom w:val="none" w:color="000000" w:sz="0" w:space="29"/>
          <w:right w:val="none" w:color="000000" w:sz="0" w:space="1"/>
        </w:pBdr>
        <w:kinsoku/>
        <w:wordWrap/>
        <w:overflowPunct/>
        <w:topLinePunct w:val="0"/>
        <w:autoSpaceDE/>
        <w:autoSpaceDN w:val="0"/>
        <w:bidi w:val="0"/>
        <w:adjustRightInd/>
        <w:snapToGrid/>
        <w:spacing w:line="560" w:lineRule="exact"/>
        <w:ind w:firstLine="622" w:firstLineChars="200"/>
        <w:textAlignment w:val="auto"/>
        <w:rPr>
          <w:rFonts w:hint="eastAsia"/>
          <w:lang w:val="en-US" w:eastAsia="zh-CN"/>
        </w:rPr>
      </w:pPr>
      <w:r>
        <w:rPr>
          <w:rFonts w:hint="eastAsia" w:ascii="Times New Roman" w:hAnsi="Times New Roman" w:eastAsia="方正仿宋_GBK" w:cs="Times New Roman"/>
          <w:b/>
          <w:bCs/>
          <w:sz w:val="31"/>
          <w:szCs w:val="31"/>
          <w:lang w:val="en-US" w:eastAsia="zh-CN"/>
        </w:rPr>
        <w:t>——</w:t>
      </w:r>
      <w:r>
        <w:rPr>
          <w:rFonts w:hint="default" w:ascii="Times New Roman" w:hAnsi="Times New Roman" w:eastAsia="方正仿宋_GBK" w:cs="Times New Roman"/>
          <w:b/>
          <w:bCs/>
          <w:sz w:val="31"/>
          <w:szCs w:val="31"/>
          <w:lang w:val="en-US" w:eastAsia="zh-CN"/>
        </w:rPr>
        <w:t>实现畜牧养殖提质增效</w:t>
      </w:r>
      <w:r>
        <w:rPr>
          <w:rFonts w:hint="eastAsia" w:ascii="Times New Roman" w:hAnsi="Times New Roman" w:eastAsia="方正仿宋_GBK" w:cs="Times New Roman"/>
          <w:b/>
          <w:bCs/>
          <w:sz w:val="31"/>
          <w:szCs w:val="31"/>
          <w:lang w:val="en-US" w:eastAsia="zh-CN"/>
        </w:rPr>
        <w:t>。</w:t>
      </w:r>
      <w:r>
        <w:rPr>
          <w:rFonts w:hint="eastAsia" w:ascii="Times New Roman" w:hAnsi="Times New Roman" w:eastAsia="方正仿宋_GBK" w:cs="Times New Roman"/>
          <w:sz w:val="31"/>
          <w:szCs w:val="31"/>
          <w:lang w:val="en-US" w:eastAsia="zh-CN"/>
        </w:rPr>
        <w:t>在七个星镇规划建设万亩养殖基地，</w:t>
      </w:r>
      <w:r>
        <w:rPr>
          <w:rFonts w:hint="default" w:ascii="Times New Roman" w:hAnsi="Times New Roman" w:eastAsia="方正仿宋_GBK" w:cs="Times New Roman"/>
          <w:sz w:val="31"/>
          <w:szCs w:val="31"/>
          <w:lang w:val="en-US" w:eastAsia="zh-CN"/>
        </w:rPr>
        <w:t>实现分散养殖向标准化、规模化养殖转变。</w:t>
      </w:r>
      <w:r>
        <w:rPr>
          <w:rFonts w:hint="eastAsia" w:ascii="Times New Roman" w:hAnsi="Times New Roman" w:eastAsia="方正仿宋_GBK" w:cs="Times New Roman"/>
          <w:sz w:val="31"/>
          <w:szCs w:val="31"/>
          <w:lang w:val="en-US" w:eastAsia="zh-CN"/>
        </w:rPr>
        <w:t>在七个星镇、五号渠乡阿伦渠村分别规划1个千亩养殖小区，引进大企业统一管理，鼓励合作社，养殖大户进驻。</w:t>
      </w:r>
      <w:r>
        <w:rPr>
          <w:rFonts w:hint="eastAsia" w:ascii="Times New Roman" w:hAnsi="Times New Roman" w:eastAsia="方正仿宋_GBK" w:cs="方正仿宋_GBK"/>
          <w:color w:val="auto"/>
          <w:sz w:val="31"/>
          <w:szCs w:val="31"/>
          <w:lang w:val="en-US" w:eastAsia="zh-CN"/>
        </w:rPr>
        <w:t>加大引入社会资本投资力度，</w:t>
      </w:r>
      <w:r>
        <w:rPr>
          <w:rFonts w:hint="eastAsia" w:ascii="方正仿宋_GBK" w:hAnsi="方正仿宋_GBK" w:eastAsia="方正仿宋_GBK" w:cs="方正仿宋_GBK"/>
          <w:b w:val="0"/>
          <w:bCs w:val="0"/>
          <w:color w:val="auto"/>
          <w:spacing w:val="0"/>
          <w:sz w:val="31"/>
          <w:szCs w:val="31"/>
          <w:lang w:eastAsia="zh-CN" w:bidi="en-US"/>
        </w:rPr>
        <w:t>加快推进仓储、冷链物流园、</w:t>
      </w:r>
      <w:r>
        <w:rPr>
          <w:rFonts w:hint="eastAsia" w:ascii="Times New Roman" w:hAnsi="Times New Roman" w:eastAsia="方正仿宋_GBK" w:cs="方正仿宋_GBK"/>
          <w:color w:val="auto"/>
          <w:sz w:val="31"/>
          <w:szCs w:val="31"/>
          <w:lang w:val="en-US" w:eastAsia="zh-CN"/>
        </w:rPr>
        <w:t>活畜交易市场、屠宰场等</w:t>
      </w:r>
      <w:r>
        <w:rPr>
          <w:rFonts w:hint="eastAsia" w:ascii="方正仿宋_GBK" w:hAnsi="方正仿宋_GBK" w:eastAsia="方正仿宋_GBK" w:cs="方正仿宋_GBK"/>
          <w:b w:val="0"/>
          <w:bCs w:val="0"/>
          <w:color w:val="auto"/>
          <w:spacing w:val="0"/>
          <w:sz w:val="31"/>
          <w:szCs w:val="31"/>
          <w:lang w:eastAsia="zh-CN" w:bidi="en-US"/>
        </w:rPr>
        <w:t>项目建设，</w:t>
      </w:r>
      <w:r>
        <w:rPr>
          <w:rFonts w:hint="eastAsia" w:ascii="Times New Roman" w:hAnsi="Times New Roman" w:eastAsia="方正仿宋_GBK" w:cs="方正仿宋_GBK"/>
          <w:color w:val="auto"/>
          <w:sz w:val="31"/>
          <w:szCs w:val="31"/>
          <w:lang w:val="en-US" w:eastAsia="zh-CN"/>
        </w:rPr>
        <w:t>延伸市场销售范围，</w:t>
      </w:r>
      <w:r>
        <w:rPr>
          <w:rFonts w:hint="eastAsia" w:ascii="方正仿宋_GBK" w:hAnsi="方正仿宋_GBK" w:eastAsia="方正仿宋_GBK" w:cs="方正仿宋_GBK"/>
          <w:b w:val="0"/>
          <w:bCs w:val="0"/>
          <w:color w:val="auto"/>
          <w:spacing w:val="0"/>
          <w:sz w:val="31"/>
          <w:szCs w:val="31"/>
          <w:lang w:val="en-US" w:eastAsia="zh-CN"/>
        </w:rPr>
        <w:t>实现牲畜大</w:t>
      </w:r>
      <w:r>
        <w:rPr>
          <w:rFonts w:hint="eastAsia" w:ascii="方正仿宋_GBK" w:hAnsi="方正仿宋_GBK" w:eastAsia="方正仿宋_GBK" w:cs="方正仿宋_GBK"/>
          <w:b w:val="0"/>
          <w:bCs w:val="0"/>
          <w:color w:val="auto"/>
          <w:spacing w:val="0"/>
          <w:sz w:val="31"/>
          <w:szCs w:val="31"/>
          <w:lang w:val="en-US" w:eastAsia="zh-CN" w:bidi="en-US"/>
        </w:rPr>
        <w:t>进大出，</w:t>
      </w:r>
      <w:r>
        <w:rPr>
          <w:rFonts w:hint="eastAsia" w:ascii="方正仿宋_GBK" w:hAnsi="方正仿宋_GBK" w:eastAsia="方正仿宋_GBK" w:cs="方正仿宋_GBK"/>
          <w:b w:val="0"/>
          <w:bCs w:val="0"/>
          <w:color w:val="auto"/>
          <w:spacing w:val="0"/>
          <w:sz w:val="31"/>
          <w:szCs w:val="31"/>
          <w:lang w:eastAsia="zh-CN" w:bidi="en-US"/>
        </w:rPr>
        <w:t>打造集仓储冷链配送为一体的南疆最</w:t>
      </w:r>
      <w:r>
        <w:rPr>
          <w:rFonts w:hint="default" w:ascii="Times New Roman" w:hAnsi="Times New Roman" w:eastAsia="方正仿宋_GBK" w:cs="Times New Roman"/>
          <w:b w:val="0"/>
          <w:bCs w:val="0"/>
          <w:color w:val="auto"/>
          <w:spacing w:val="0"/>
          <w:sz w:val="31"/>
          <w:szCs w:val="31"/>
          <w:lang w:eastAsia="zh-CN" w:bidi="en-US"/>
        </w:rPr>
        <w:t>大的现代化综合畜禽交易市场</w:t>
      </w:r>
      <w:r>
        <w:rPr>
          <w:rFonts w:hint="default" w:ascii="Times New Roman" w:hAnsi="Times New Roman" w:eastAsia="方正仿宋_GBK" w:cs="Times New Roman"/>
          <w:b w:val="0"/>
          <w:bCs w:val="0"/>
          <w:color w:val="auto"/>
          <w:spacing w:val="0"/>
          <w:sz w:val="31"/>
          <w:szCs w:val="31"/>
          <w:lang w:val="en-US" w:eastAsia="zh-CN" w:bidi="en-US"/>
        </w:rPr>
        <w:t>。优化农区畜牧业发展布局，推进畜禽品种改良，实现畜牧业连接种植业与加工业，支撑旅游业、服务业，带动一二三产业有效融合的中轴作用进一步凸显，保供给促增收。加快推进优质奶源及禽蛋生产基地建设，扶持龙头企业发展。加强现代饲草料产业体系建设，抓好重大动物疫病防控工作，大力发展农区牲畜舍饲圈养繁育，加大金融扶持力度，鼓励规模养殖场实施牲畜“大进大出”，带动的养殖户实行养殖育肥“快进快出”，促进增收。“十四五”末，实现全县年末存栏各类牲畜100万头（只），家禽存栏200万羽。</w:t>
      </w:r>
    </w:p>
    <w:tbl>
      <w:tblPr>
        <w:tblStyle w:val="15"/>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4"/>
        <w:gridCol w:w="6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8660" w:type="dxa"/>
            <w:gridSpan w:val="2"/>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kinsoku/>
              <w:wordWrap/>
              <w:overflowPunct/>
              <w:topLinePunct w:val="0"/>
              <w:autoSpaceDE/>
              <w:autoSpaceDN/>
              <w:bidi w:val="0"/>
              <w:snapToGrid/>
              <w:spacing w:after="0" w:line="280" w:lineRule="exact"/>
              <w:textAlignment w:val="auto"/>
            </w:pPr>
            <w:r>
              <w:rPr>
                <w:rFonts w:hint="eastAsia" w:ascii="方正黑体_GBK" w:hAnsi="方正黑体_GBK" w:eastAsia="方正黑体_GBK" w:cs="方正黑体_GBK"/>
                <w:lang w:eastAsia="zh-CN"/>
              </w:rPr>
              <w:t>专栏：</w:t>
            </w:r>
            <w:r>
              <w:rPr>
                <w:rFonts w:hint="eastAsia" w:ascii="方正黑体_GBK" w:hAnsi="方正黑体_GBK" w:eastAsia="方正黑体_GBK" w:cs="方正黑体_GBK"/>
                <w:lang w:eastAsia="en-US"/>
              </w:rPr>
              <w:t>项目支撑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top"/>
          </w:tcPr>
          <w:p>
            <w:pPr>
              <w:keepNext w:val="0"/>
              <w:keepLines w:val="0"/>
              <w:pageBreakBefore w:val="0"/>
              <w:widowControl w:val="0"/>
              <w:kinsoku/>
              <w:wordWrap/>
              <w:overflowPunct/>
              <w:topLinePunct w:val="0"/>
              <w:autoSpaceDE/>
              <w:autoSpaceDN/>
              <w:bidi w:val="0"/>
              <w:snapToGrid/>
              <w:spacing w:after="0" w:line="280" w:lineRule="exact"/>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焉耆县</w:t>
            </w:r>
            <w:r>
              <w:rPr>
                <w:rFonts w:hint="eastAsia" w:ascii="宋体" w:hAnsi="宋体" w:eastAsia="宋体" w:cs="宋体"/>
                <w:sz w:val="20"/>
                <w:szCs w:val="20"/>
                <w:vertAlign w:val="baseline"/>
                <w:lang w:val="en-US" w:eastAsia="zh-CN"/>
              </w:rPr>
              <w:t>万亩养殖基地和两个千亩养殖小区</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top"/>
          </w:tcPr>
          <w:p>
            <w:pPr>
              <w:keepNext w:val="0"/>
              <w:keepLines w:val="0"/>
              <w:pageBreakBefore w:val="0"/>
              <w:widowControl w:val="0"/>
              <w:kinsoku/>
              <w:wordWrap/>
              <w:overflowPunct/>
              <w:topLinePunct w:val="0"/>
              <w:autoSpaceDE/>
              <w:autoSpaceDN/>
              <w:bidi w:val="0"/>
              <w:snapToGrid/>
              <w:spacing w:after="0" w:line="280" w:lineRule="exact"/>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val="en-US" w:eastAsia="zh-CN"/>
              </w:rPr>
              <w:t>在七个星镇规划建设1万亩养殖基地；在七个星镇、五号渠乡阿伦渠村分别规划1个千亩养殖小区，引进大企业统一管理，鼓励合作社，养殖大户进驻。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vAlign w:val="top"/>
          </w:tcPr>
          <w:p>
            <w:pPr>
              <w:keepNext w:val="0"/>
              <w:keepLines w:val="0"/>
              <w:pageBreakBefore w:val="0"/>
              <w:widowControl w:val="0"/>
              <w:kinsoku/>
              <w:wordWrap/>
              <w:overflowPunct/>
              <w:topLinePunct w:val="0"/>
              <w:autoSpaceDE/>
              <w:autoSpaceDN/>
              <w:bidi w:val="0"/>
              <w:snapToGrid/>
              <w:spacing w:after="0" w:line="280" w:lineRule="exact"/>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rPr>
              <w:t>标准化奶牛养殖小区建设项目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vAlign w:val="top"/>
          </w:tcPr>
          <w:p>
            <w:pPr>
              <w:keepNext w:val="0"/>
              <w:keepLines w:val="0"/>
              <w:pageBreakBefore w:val="0"/>
              <w:widowControl w:val="0"/>
              <w:kinsoku/>
              <w:wordWrap/>
              <w:overflowPunct/>
              <w:topLinePunct w:val="0"/>
              <w:autoSpaceDE/>
              <w:autoSpaceDN/>
              <w:bidi w:val="0"/>
              <w:snapToGrid/>
              <w:spacing w:after="0" w:line="280" w:lineRule="exact"/>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rPr>
              <w:t>建设地点为包尔海乡、永宁镇、北大渠乡，建设内容主要为奶牛圈舍及配套设施、挤奶厅和配套设备、沼气工程设施（粪污处理设施）、防疫消毒设施、饲草料地等</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kinsoku/>
              <w:wordWrap/>
              <w:overflowPunct/>
              <w:topLinePunct w:val="0"/>
              <w:autoSpaceDE/>
              <w:autoSpaceDN/>
              <w:bidi w:val="0"/>
              <w:snapToGrid/>
              <w:spacing w:after="0" w:line="280" w:lineRule="exact"/>
              <w:textAlignment w:val="auto"/>
              <w:rPr>
                <w:rFonts w:hint="eastAsia" w:ascii="宋体" w:hAnsi="宋体" w:eastAsia="宋体" w:cs="宋体"/>
              </w:rPr>
            </w:pPr>
            <w:r>
              <w:rPr>
                <w:rFonts w:hint="eastAsia" w:ascii="宋体" w:hAnsi="宋体" w:eastAsia="宋体" w:cs="宋体"/>
                <w:sz w:val="20"/>
                <w:szCs w:val="20"/>
                <w:vertAlign w:val="baseline"/>
              </w:rPr>
              <w:t>牛羊标准化规模养殖场建设项目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kinsoku/>
              <w:wordWrap/>
              <w:overflowPunct/>
              <w:topLinePunct w:val="0"/>
              <w:autoSpaceDE/>
              <w:autoSpaceDN/>
              <w:bidi w:val="0"/>
              <w:adjustRightInd w:val="0"/>
              <w:snapToGrid/>
              <w:spacing w:after="0" w:line="280" w:lineRule="exact"/>
              <w:ind w:right="0" w:rightChars="0"/>
              <w:jc w:val="both"/>
              <w:textAlignment w:val="auto"/>
              <w:outlineLvl w:val="9"/>
              <w:rPr>
                <w:rFonts w:hint="eastAsia" w:ascii="宋体" w:hAnsi="宋体" w:eastAsia="宋体" w:cs="宋体"/>
                <w:lang w:eastAsia="zh-CN"/>
              </w:rPr>
            </w:pPr>
            <w:r>
              <w:rPr>
                <w:rFonts w:hint="eastAsia" w:ascii="宋体" w:hAnsi="宋体" w:eastAsia="宋体" w:cs="宋体"/>
                <w:sz w:val="20"/>
                <w:szCs w:val="20"/>
                <w:vertAlign w:val="baseline"/>
              </w:rPr>
              <w:t>建设地点为永宁镇、五号渠乡、北大渠乡、七个星镇，建设内容主要为圈舍、青贮窖、粪污处理及附属设施和相关仪器设备配置，建成肉用牛羊标准化规模养殖场20个</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kinsoku/>
              <w:wordWrap/>
              <w:overflowPunct/>
              <w:topLinePunct w:val="0"/>
              <w:autoSpaceDE/>
              <w:autoSpaceDN/>
              <w:bidi w:val="0"/>
              <w:snapToGrid/>
              <w:spacing w:after="0" w:line="280" w:lineRule="exact"/>
              <w:textAlignment w:val="auto"/>
              <w:rPr>
                <w:rFonts w:hint="eastAsia" w:ascii="宋体" w:hAnsi="宋体" w:eastAsia="宋体" w:cs="宋体"/>
              </w:rPr>
            </w:pPr>
            <w:r>
              <w:rPr>
                <w:rFonts w:hint="eastAsia" w:ascii="宋体" w:hAnsi="宋体" w:eastAsia="宋体" w:cs="宋体"/>
                <w:sz w:val="20"/>
                <w:szCs w:val="20"/>
                <w:vertAlign w:val="baseline"/>
              </w:rPr>
              <w:t>生猪生产基地建设项目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kinsoku/>
              <w:wordWrap/>
              <w:overflowPunct/>
              <w:topLinePunct w:val="0"/>
              <w:autoSpaceDE/>
              <w:autoSpaceDN/>
              <w:bidi w:val="0"/>
              <w:snapToGrid/>
              <w:spacing w:after="0" w:line="280" w:lineRule="exact"/>
              <w:textAlignment w:val="auto"/>
              <w:rPr>
                <w:rFonts w:hint="eastAsia" w:ascii="宋体" w:hAnsi="宋体" w:eastAsia="宋体" w:cs="宋体"/>
                <w:lang w:eastAsia="zh-CN"/>
              </w:rPr>
            </w:pPr>
            <w:r>
              <w:rPr>
                <w:rFonts w:hint="eastAsia" w:ascii="宋体" w:hAnsi="宋体" w:eastAsia="宋体" w:cs="宋体"/>
                <w:sz w:val="20"/>
                <w:szCs w:val="20"/>
                <w:vertAlign w:val="baseline"/>
              </w:rPr>
              <w:t>新建标准化猪舍，配套建设饲料堆放场和饲料加工运输设备，以及化粪池、堆粪厂，配套生猪拉运车辆、卫生检疫消毒等设施设备，到2025年，生猪年出栏达到10万头</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kinsoku/>
              <w:wordWrap/>
              <w:overflowPunct/>
              <w:topLinePunct w:val="0"/>
              <w:autoSpaceDE/>
              <w:autoSpaceDN/>
              <w:bidi w:val="0"/>
              <w:snapToGrid/>
              <w:spacing w:after="0" w:line="280" w:lineRule="exac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0"/>
                <w:szCs w:val="20"/>
                <w:vertAlign w:val="baseline"/>
                <w14:textFill>
                  <w14:solidFill>
                    <w14:schemeClr w14:val="tx1"/>
                  </w14:solidFill>
                </w14:textFill>
              </w:rPr>
              <w:t>立峰珍禽养殖专业合作社珍禽繁育项目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kinsoku/>
              <w:wordWrap/>
              <w:overflowPunct/>
              <w:topLinePunct w:val="0"/>
              <w:autoSpaceDE/>
              <w:autoSpaceDN/>
              <w:bidi w:val="0"/>
              <w:snapToGrid/>
              <w:spacing w:after="0" w:line="280" w:lineRule="exact"/>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20"/>
                <w:szCs w:val="20"/>
                <w:vertAlign w:val="baseline"/>
                <w14:textFill>
                  <w14:solidFill>
                    <w14:schemeClr w14:val="tx1"/>
                  </w14:solidFill>
                </w14:textFill>
              </w:rPr>
              <w:t>新建和改扩建圈舍、运动场、饲草料库、消毒室，引进和繁育珍禽，扩大珍禽品种规模</w:t>
            </w:r>
            <w:r>
              <w:rPr>
                <w:rFonts w:hint="eastAsia" w:ascii="宋体" w:hAnsi="宋体" w:eastAsia="宋体" w:cs="宋体"/>
                <w:color w:val="000000" w:themeColor="text1"/>
                <w:sz w:val="20"/>
                <w:szCs w:val="20"/>
                <w:vertAlign w:val="baseli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kinsoku/>
              <w:wordWrap/>
              <w:overflowPunct/>
              <w:topLinePunct w:val="0"/>
              <w:autoSpaceDE/>
              <w:autoSpaceDN/>
              <w:bidi w:val="0"/>
              <w:snapToGrid/>
              <w:spacing w:after="0" w:line="280" w:lineRule="exact"/>
              <w:textAlignment w:val="auto"/>
              <w:rPr>
                <w:rFonts w:hint="eastAsia" w:ascii="宋体" w:hAnsi="宋体" w:eastAsia="宋体" w:cs="宋体"/>
              </w:rPr>
            </w:pPr>
            <w:r>
              <w:rPr>
                <w:rFonts w:hint="eastAsia" w:ascii="宋体" w:hAnsi="宋体" w:eastAsia="宋体" w:cs="宋体"/>
                <w:sz w:val="20"/>
                <w:szCs w:val="20"/>
                <w:vertAlign w:val="baseline"/>
              </w:rPr>
              <w:t>肉食品加工冷链物流项目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kinsoku/>
              <w:wordWrap/>
              <w:overflowPunct/>
              <w:topLinePunct w:val="0"/>
              <w:autoSpaceDE/>
              <w:autoSpaceDN/>
              <w:bidi w:val="0"/>
              <w:adjustRightInd w:val="0"/>
              <w:snapToGrid/>
              <w:spacing w:after="0" w:line="280" w:lineRule="exact"/>
              <w:ind w:right="0" w:rightChars="0"/>
              <w:jc w:val="both"/>
              <w:textAlignment w:val="auto"/>
              <w:outlineLvl w:val="9"/>
              <w:rPr>
                <w:rFonts w:hint="eastAsia" w:ascii="宋体" w:hAnsi="宋体" w:eastAsia="宋体" w:cs="宋体"/>
                <w:lang w:eastAsia="zh-CN"/>
              </w:rPr>
            </w:pPr>
            <w:r>
              <w:rPr>
                <w:rFonts w:hint="eastAsia" w:ascii="宋体" w:hAnsi="宋体" w:eastAsia="宋体" w:cs="宋体"/>
                <w:sz w:val="20"/>
                <w:szCs w:val="20"/>
                <w:vertAlign w:val="baseline"/>
              </w:rPr>
              <w:t>新建肉食品加工分割车间，配套生产加工机器设备和保鲜库、冷链运输车辆，到2025年，肉食品加工、保鲜运输达到10万吨</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kinsoku/>
              <w:wordWrap/>
              <w:overflowPunct/>
              <w:topLinePunct w:val="0"/>
              <w:autoSpaceDE/>
              <w:autoSpaceDN/>
              <w:bidi w:val="0"/>
              <w:snapToGrid/>
              <w:spacing w:after="0" w:line="280" w:lineRule="exact"/>
              <w:textAlignment w:val="auto"/>
              <w:rPr>
                <w:rFonts w:hint="eastAsia" w:ascii="宋体" w:hAnsi="宋体" w:eastAsia="宋体" w:cs="宋体"/>
              </w:rPr>
            </w:pPr>
            <w:r>
              <w:rPr>
                <w:rFonts w:hint="eastAsia" w:ascii="宋体" w:hAnsi="宋体" w:eastAsia="宋体" w:cs="宋体"/>
                <w:sz w:val="20"/>
                <w:szCs w:val="20"/>
                <w:vertAlign w:val="baseline"/>
              </w:rPr>
              <w:t>畜禽粪污资源利用项目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kinsoku/>
              <w:wordWrap/>
              <w:overflowPunct/>
              <w:topLinePunct w:val="0"/>
              <w:autoSpaceDE/>
              <w:autoSpaceDN/>
              <w:bidi w:val="0"/>
              <w:snapToGrid/>
              <w:spacing w:after="0" w:line="280" w:lineRule="exact"/>
              <w:textAlignment w:val="auto"/>
              <w:rPr>
                <w:rFonts w:hint="eastAsia" w:ascii="宋体" w:hAnsi="宋体" w:eastAsia="宋体" w:cs="宋体"/>
                <w:lang w:eastAsia="zh-CN"/>
              </w:rPr>
            </w:pPr>
            <w:r>
              <w:rPr>
                <w:rFonts w:hint="eastAsia" w:ascii="宋体" w:hAnsi="宋体" w:eastAsia="宋体" w:cs="宋体"/>
                <w:sz w:val="20"/>
                <w:szCs w:val="20"/>
                <w:vertAlign w:val="baseline"/>
              </w:rPr>
              <w:t>新建污粪沼液池、堆粪厂，配套起运、装卸设备，建成10个粪污收集中转站，建设有机肥生产车间，“十四五期间”，全县年处理粪污达到500吨</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kinsoku/>
              <w:wordWrap/>
              <w:overflowPunct/>
              <w:topLinePunct w:val="0"/>
              <w:autoSpaceDE/>
              <w:autoSpaceDN/>
              <w:bidi w:val="0"/>
              <w:snapToGrid/>
              <w:spacing w:after="0" w:line="280" w:lineRule="exact"/>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rPr>
              <w:t>动物医院建设项目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kinsoku/>
              <w:wordWrap/>
              <w:overflowPunct/>
              <w:topLinePunct w:val="0"/>
              <w:autoSpaceDE/>
              <w:autoSpaceDN/>
              <w:bidi w:val="0"/>
              <w:adjustRightInd w:val="0"/>
              <w:snapToGrid/>
              <w:spacing w:after="0" w:line="280" w:lineRule="exact"/>
              <w:ind w:right="0" w:rightChars="0"/>
              <w:jc w:val="both"/>
              <w:textAlignment w:val="auto"/>
              <w:outlineLvl w:val="9"/>
              <w:rPr>
                <w:rFonts w:hint="eastAsia" w:ascii="宋体" w:hAnsi="宋体" w:eastAsia="宋体" w:cs="宋体"/>
                <w:sz w:val="20"/>
                <w:szCs w:val="20"/>
                <w:vertAlign w:val="baseline"/>
              </w:rPr>
            </w:pPr>
            <w:r>
              <w:rPr>
                <w:rFonts w:hint="eastAsia" w:ascii="宋体" w:hAnsi="宋体" w:eastAsia="宋体" w:cs="宋体"/>
                <w:sz w:val="20"/>
                <w:szCs w:val="20"/>
                <w:vertAlign w:val="baseline"/>
              </w:rPr>
              <w:t>扩建县动物医院诊断楼及诊断医疗设施配套，新建乡镇分院10个，主要建设内容为动物寄养棚圈、饲料储藏库及培训设施。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kinsoku/>
              <w:wordWrap/>
              <w:overflowPunct/>
              <w:topLinePunct w:val="0"/>
              <w:autoSpaceDE/>
              <w:autoSpaceDN/>
              <w:bidi w:val="0"/>
              <w:snapToGrid/>
              <w:spacing w:after="0" w:line="280" w:lineRule="exact"/>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rPr>
              <w:t>乡镇兽医站改扩建项目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kinsoku/>
              <w:wordWrap/>
              <w:overflowPunct/>
              <w:topLinePunct w:val="0"/>
              <w:autoSpaceDE/>
              <w:autoSpaceDN/>
              <w:bidi w:val="0"/>
              <w:adjustRightInd w:val="0"/>
              <w:snapToGrid/>
              <w:spacing w:after="0" w:line="280" w:lineRule="exact"/>
              <w:ind w:right="0" w:rightChars="0"/>
              <w:jc w:val="both"/>
              <w:textAlignment w:val="auto"/>
              <w:outlineLvl w:val="9"/>
              <w:rPr>
                <w:rFonts w:hint="eastAsia" w:ascii="宋体" w:hAnsi="宋体" w:eastAsia="宋体" w:cs="宋体"/>
                <w:sz w:val="20"/>
                <w:szCs w:val="20"/>
                <w:vertAlign w:val="baseline"/>
              </w:rPr>
            </w:pPr>
            <w:r>
              <w:rPr>
                <w:rFonts w:hint="eastAsia" w:ascii="宋体" w:hAnsi="宋体" w:eastAsia="宋体" w:cs="宋体"/>
                <w:sz w:val="20"/>
                <w:szCs w:val="20"/>
                <w:vertAlign w:val="baseline"/>
              </w:rPr>
              <w:t>10个乡镇兽医站牧兽医站的办公室维修，配备隔离、消毒、扑杀、无害化处理等动物疫情快速处理设施。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4"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kinsoku/>
              <w:wordWrap/>
              <w:overflowPunct/>
              <w:topLinePunct w:val="0"/>
              <w:autoSpaceDE/>
              <w:autoSpaceDN/>
              <w:bidi w:val="0"/>
              <w:snapToGrid/>
              <w:spacing w:after="0" w:line="280" w:lineRule="exact"/>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rPr>
              <w:t>焉耆县活畜交易市场建设项目</w:t>
            </w:r>
          </w:p>
        </w:tc>
        <w:tc>
          <w:tcPr>
            <w:tcW w:w="6166" w:type="dxa"/>
            <w:tcBorders>
              <w:top w:val="thinThickSmallGap" w:color="auto" w:sz="24" w:space="0"/>
              <w:left w:val="thinThickSmallGap" w:color="auto" w:sz="24" w:space="0"/>
              <w:bottom w:val="thinThickSmallGap" w:color="auto" w:sz="24" w:space="0"/>
              <w:right w:val="thinThickSmallGap" w:color="auto" w:sz="24" w:space="0"/>
            </w:tcBorders>
          </w:tcPr>
          <w:p>
            <w:pPr>
              <w:keepNext w:val="0"/>
              <w:keepLines w:val="0"/>
              <w:pageBreakBefore w:val="0"/>
              <w:widowControl w:val="0"/>
              <w:kinsoku/>
              <w:wordWrap/>
              <w:overflowPunct/>
              <w:topLinePunct w:val="0"/>
              <w:autoSpaceDE/>
              <w:autoSpaceDN/>
              <w:bidi w:val="0"/>
              <w:adjustRightInd w:val="0"/>
              <w:snapToGrid/>
              <w:spacing w:after="0" w:line="280" w:lineRule="exact"/>
              <w:ind w:right="0" w:rightChars="0"/>
              <w:jc w:val="both"/>
              <w:textAlignment w:val="auto"/>
              <w:outlineLvl w:val="9"/>
              <w:rPr>
                <w:rFonts w:hint="eastAsia" w:ascii="宋体" w:hAnsi="宋体" w:eastAsia="宋体" w:cs="宋体"/>
                <w:sz w:val="20"/>
                <w:szCs w:val="20"/>
                <w:vertAlign w:val="baseline"/>
              </w:rPr>
            </w:pPr>
            <w:r>
              <w:rPr>
                <w:rFonts w:hint="eastAsia" w:ascii="宋体" w:hAnsi="宋体" w:eastAsia="宋体" w:cs="宋体"/>
                <w:sz w:val="20"/>
                <w:szCs w:val="20"/>
                <w:vertAlign w:val="baseline"/>
              </w:rPr>
              <w:t>占地200亩，其中50亩为活畜交易市场，50亩日处理1500只屠宰，20000平方米商铺设施等。</w:t>
            </w:r>
          </w:p>
        </w:tc>
      </w:tr>
    </w:tbl>
    <w:p>
      <w:pPr>
        <w:snapToGrid w:val="0"/>
        <w:spacing w:line="560" w:lineRule="exact"/>
        <w:ind w:firstLine="622" w:firstLineChars="200"/>
        <w:rPr>
          <w:rFonts w:hint="eastAsia" w:ascii="Times New Roman" w:hAnsi="Times New Roman" w:eastAsia="方正仿宋_GBK" w:cs="Times New Roman"/>
          <w:b/>
          <w:bCs/>
          <w:sz w:val="31"/>
          <w:szCs w:val="31"/>
          <w:lang w:val="en-US" w:eastAsia="zh-CN"/>
        </w:rPr>
      </w:pPr>
    </w:p>
    <w:p>
      <w:pPr>
        <w:snapToGrid w:val="0"/>
        <w:spacing w:line="560" w:lineRule="exact"/>
        <w:ind w:firstLine="622" w:firstLineChars="200"/>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b/>
          <w:bCs/>
          <w:sz w:val="31"/>
          <w:szCs w:val="31"/>
          <w:lang w:val="en-US" w:eastAsia="zh-CN"/>
        </w:rPr>
        <w:t>——完善乡村治理体制机制建设。</w:t>
      </w:r>
      <w:r>
        <w:rPr>
          <w:rFonts w:hint="eastAsia" w:ascii="Times New Roman" w:hAnsi="Times New Roman" w:eastAsia="方正仿宋_GBK" w:cs="Times New Roman"/>
          <w:sz w:val="31"/>
          <w:szCs w:val="31"/>
          <w:lang w:val="en-US" w:eastAsia="zh-CN"/>
        </w:rPr>
        <w:t>加强农村干部队体建设，规范村级工作事务，规范化建设村级自治组织，完善村规民约，健全村级议事协商制度，实施村级事务阳光工程，积极培育和践行社会主义核心价值观，开展民族团结进步教育，充分发挥道德模范引领作用，深入实施乡风文明培育行动，提升农村文化建设，构建平安乡村，切实维护农村意识形态安全，推进法治乡村建设，健全乡村矛盾纠纷调处化解机制，提供农村法律服务。</w:t>
      </w:r>
    </w:p>
    <w:p>
      <w:pPr>
        <w:snapToGrid w:val="0"/>
        <w:spacing w:line="560" w:lineRule="exact"/>
        <w:ind w:firstLine="620" w:firstLineChars="200"/>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十四五”末，力争培育区级农民专业合作示范社10家、家庭农场2家。力争建立小麦病虫绿色防控区8000亩、辐射面积8万亩，色素辣椒、工业番茄绿色防控区11200亩，辐射面积11万亩，农药残留不超标。农田废旧地膜回收利用率和农作物秸秆综合利用率均达85%以上，滴灌材料回收利用率达90%以上，农药包装废弃物回收处理率达40%以上。农产品检测合格率达到98%以上，力争取得“二品”认证39件，其中绿色认证9件、有机认证30件。乡村公共服务、公共管理、公共安全保障水平显著提高，乡村自治、法治、德治相结合的乡村治理体系逐步完善，乡村社会治理有效、充满活力、和谐有序，乡村治理体系和治理能力基本实现现代化。</w:t>
      </w:r>
    </w:p>
    <w:p>
      <w:pPr>
        <w:rPr>
          <w:rFonts w:hint="default"/>
          <w:lang w:val="en-US" w:eastAsia="zh-CN"/>
        </w:rPr>
      </w:pPr>
      <w:bookmarkStart w:id="281" w:name="_Toc32008"/>
    </w:p>
    <w:p>
      <w:pPr>
        <w:pStyle w:val="7"/>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楷体_GBK" w:hAnsi="方正楷体_GBK" w:eastAsia="方正楷体_GBK" w:cs="方正楷体_GBK"/>
          <w:b w:val="0"/>
          <w:bCs/>
          <w:sz w:val="31"/>
          <w:szCs w:val="31"/>
          <w:lang w:val="en-US" w:eastAsia="zh-CN"/>
        </w:rPr>
      </w:pPr>
      <w:bookmarkStart w:id="282" w:name="_Toc14565"/>
      <w:bookmarkStart w:id="283" w:name="_Toc19360"/>
      <w:bookmarkStart w:id="284" w:name="_Toc2070"/>
      <w:bookmarkStart w:id="285" w:name="_Toc25389"/>
      <w:bookmarkStart w:id="286" w:name="_Toc13887"/>
      <w:r>
        <w:rPr>
          <w:rFonts w:hint="default" w:ascii="方正楷体_GBK" w:hAnsi="方正楷体_GBK" w:eastAsia="方正楷体_GBK" w:cs="方正楷体_GBK"/>
          <w:b w:val="0"/>
          <w:bCs/>
          <w:sz w:val="31"/>
          <w:szCs w:val="31"/>
          <w:lang w:val="en-US" w:eastAsia="zh-CN"/>
        </w:rPr>
        <w:t>第三节  脱贫攻坚与乡村振兴有效衔接</w:t>
      </w:r>
      <w:bookmarkEnd w:id="281"/>
      <w:bookmarkEnd w:id="282"/>
      <w:bookmarkEnd w:id="283"/>
      <w:bookmarkEnd w:id="284"/>
      <w:bookmarkEnd w:id="285"/>
      <w:bookmarkEnd w:id="286"/>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lang w:val="en-US" w:eastAsia="zh-CN"/>
        </w:rPr>
      </w:pPr>
      <w:r>
        <w:rPr>
          <w:rFonts w:hint="default" w:ascii="Times New Roman" w:hAnsi="Times New Roman" w:eastAsia="方正仿宋_GBK" w:cs="Times New Roman"/>
          <w:sz w:val="31"/>
          <w:szCs w:val="31"/>
          <w:lang w:val="en-US" w:eastAsia="zh-CN"/>
        </w:rPr>
        <w:t>严格落实“四个不摘、八个不变”部署要求，围绕保持帮扶政策总体稳定、健全防止返贫监测帮扶机制、持续发展壮大扶贫产业、做好脱贫人口稳岗就业、加强资金资产管理等重点工作，统筹使用扶贫资源，持续抓好问题整改，突出发展产业带动就业增收，确保脱贫后能发展、可持续。科学编制“十四五”巩固脱贫成果规划，建立长短结合、标本兼治的体制机制，增强内生发展动力和发展活力，实现全面脱贫与乡村振兴有效衔接。</w:t>
      </w:r>
    </w:p>
    <w:p>
      <w:pPr>
        <w:rPr>
          <w:rFonts w:hint="default"/>
          <w:lang w:val="zh-CN" w:eastAsia="zh-CN"/>
        </w:rPr>
      </w:pPr>
      <w:bookmarkStart w:id="287" w:name="_Toc6002"/>
      <w:bookmarkStart w:id="288" w:name="_Toc2794"/>
      <w:bookmarkStart w:id="289" w:name="_Toc20493"/>
      <w:bookmarkStart w:id="290" w:name="_Toc24304"/>
      <w:r>
        <w:rPr>
          <w:rFonts w:hint="eastAsia"/>
          <w:lang w:val="zh-CN" w:eastAsia="zh-CN"/>
        </w:rPr>
        <w:tab/>
      </w:r>
    </w:p>
    <w:p>
      <w:pPr>
        <w:pStyle w:val="6"/>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黑体_GBK" w:hAnsi="方正黑体_GBK" w:eastAsia="方正黑体_GBK" w:cs="方正黑体_GBK"/>
          <w:b w:val="0"/>
          <w:bCs w:val="0"/>
          <w:sz w:val="31"/>
          <w:szCs w:val="31"/>
          <w:lang w:val="en-US" w:eastAsia="zh-CN"/>
        </w:rPr>
      </w:pPr>
      <w:bookmarkStart w:id="291" w:name="_Toc3109"/>
      <w:bookmarkStart w:id="292" w:name="_Toc8220"/>
      <w:r>
        <w:rPr>
          <w:rFonts w:hint="default" w:ascii="方正黑体_GBK" w:hAnsi="方正黑体_GBK" w:eastAsia="方正黑体_GBK" w:cs="方正黑体_GBK"/>
          <w:b w:val="0"/>
          <w:bCs w:val="0"/>
          <w:sz w:val="31"/>
          <w:szCs w:val="31"/>
          <w:lang w:val="zh-CN" w:eastAsia="zh-CN"/>
        </w:rPr>
        <w:t>第八章</w:t>
      </w:r>
      <w:r>
        <w:rPr>
          <w:rFonts w:hint="default" w:ascii="方正黑体_GBK" w:hAnsi="方正黑体_GBK" w:eastAsia="方正黑体_GBK" w:cs="方正黑体_GBK"/>
          <w:b w:val="0"/>
          <w:bCs w:val="0"/>
          <w:sz w:val="31"/>
          <w:szCs w:val="31"/>
          <w:lang w:val="en-US" w:eastAsia="zh-CN"/>
        </w:rPr>
        <w:t xml:space="preserve">  深化重点领域改革，为经济发展注入活力</w:t>
      </w:r>
      <w:bookmarkEnd w:id="287"/>
      <w:bookmarkEnd w:id="288"/>
      <w:bookmarkEnd w:id="289"/>
      <w:bookmarkEnd w:id="290"/>
      <w:bookmarkEnd w:id="291"/>
      <w:bookmarkEnd w:id="292"/>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推持续推进以“放管服”为重点的政府改革，发展壮大民营经济，深化国资国企改革，完善社会信用体系，激发各类市场主体活力，加快培育竞争新优势。</w:t>
      </w:r>
    </w:p>
    <w:p>
      <w:pPr>
        <w:rPr>
          <w:rFonts w:hint="default"/>
          <w:lang w:val="en-US" w:eastAsia="zh-CN"/>
        </w:rPr>
      </w:pPr>
      <w:bookmarkStart w:id="293" w:name="_Toc5123"/>
      <w:bookmarkStart w:id="294" w:name="_Toc10129"/>
    </w:p>
    <w:p>
      <w:pPr>
        <w:pStyle w:val="7"/>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楷体_GBK" w:hAnsi="方正楷体_GBK" w:eastAsia="方正楷体_GBK" w:cs="方正楷体_GBK"/>
          <w:b w:val="0"/>
          <w:bCs/>
          <w:sz w:val="31"/>
          <w:szCs w:val="31"/>
          <w:lang w:val="en-US" w:eastAsia="zh-CN"/>
        </w:rPr>
      </w:pPr>
      <w:bookmarkStart w:id="295" w:name="_Toc18271"/>
      <w:bookmarkStart w:id="296" w:name="_Toc6318"/>
      <w:bookmarkStart w:id="297" w:name="_Toc23846"/>
      <w:bookmarkStart w:id="298" w:name="_Toc2182"/>
      <w:bookmarkStart w:id="299" w:name="_Toc3013"/>
      <w:r>
        <w:rPr>
          <w:rFonts w:hint="default" w:ascii="方正楷体_GBK" w:hAnsi="方正楷体_GBK" w:eastAsia="方正楷体_GBK" w:cs="方正楷体_GBK"/>
          <w:b w:val="0"/>
          <w:bCs/>
          <w:sz w:val="31"/>
          <w:szCs w:val="31"/>
          <w:lang w:val="en-US" w:eastAsia="zh-CN"/>
        </w:rPr>
        <w:t>第一节  优化营商环境</w:t>
      </w:r>
      <w:bookmarkEnd w:id="293"/>
      <w:bookmarkEnd w:id="294"/>
      <w:bookmarkEnd w:id="295"/>
      <w:bookmarkEnd w:id="296"/>
      <w:bookmarkEnd w:id="297"/>
      <w:bookmarkEnd w:id="298"/>
      <w:bookmarkEnd w:id="299"/>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持续深化“放管服”改革，落实市场准入负面清单，破除各种形式的市场准入不合理和隐性壁垒。积极推进投资审批制度改革、在线审批及“一网通办”，巩固提升“最多跑一次”成果。落实减税降费各项政策措施，着力降低物流、用能等费用。积极推进“多证合一、证照分离”商事制度改革，全面履行“双告知”职责。积极推进“双随机、一公开”监管，推动审慎包容监管，提高监管效能。推进信用分级分类监管，推动发展征信、信用评级、信用管理咨询及培训等信用服务，发挥第三方信用服务机构在信用信息采集、加工、应用等方面的专业作用。</w:t>
      </w:r>
    </w:p>
    <w:p>
      <w:pPr>
        <w:rPr>
          <w:rFonts w:hint="default"/>
          <w:lang w:val="en-US" w:eastAsia="zh-CN"/>
        </w:rPr>
      </w:pPr>
      <w:bookmarkStart w:id="300" w:name="_Toc3860"/>
      <w:bookmarkStart w:id="301" w:name="_Toc28922"/>
    </w:p>
    <w:p>
      <w:pPr>
        <w:pStyle w:val="7"/>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楷体_GBK" w:hAnsi="方正楷体_GBK" w:eastAsia="方正楷体_GBK" w:cs="方正楷体_GBK"/>
          <w:b w:val="0"/>
          <w:bCs/>
          <w:sz w:val="31"/>
          <w:szCs w:val="31"/>
          <w:lang w:val="en-US" w:eastAsia="zh-CN"/>
        </w:rPr>
      </w:pPr>
      <w:bookmarkStart w:id="302" w:name="_Toc3239"/>
      <w:bookmarkStart w:id="303" w:name="_Toc1831"/>
      <w:bookmarkStart w:id="304" w:name="_Toc8543"/>
      <w:bookmarkStart w:id="305" w:name="_Toc28576"/>
      <w:bookmarkStart w:id="306" w:name="_Toc32440"/>
      <w:r>
        <w:rPr>
          <w:rFonts w:hint="default" w:ascii="方正楷体_GBK" w:hAnsi="方正楷体_GBK" w:eastAsia="方正楷体_GBK" w:cs="方正楷体_GBK"/>
          <w:b w:val="0"/>
          <w:bCs/>
          <w:sz w:val="31"/>
          <w:szCs w:val="31"/>
          <w:lang w:val="en-US" w:eastAsia="zh-CN"/>
        </w:rPr>
        <w:t>第二节  深化国资国企改革</w:t>
      </w:r>
      <w:bookmarkEnd w:id="300"/>
      <w:bookmarkEnd w:id="301"/>
      <w:bookmarkEnd w:id="302"/>
      <w:bookmarkEnd w:id="303"/>
      <w:bookmarkEnd w:id="304"/>
      <w:bookmarkEnd w:id="305"/>
      <w:bookmarkEnd w:id="306"/>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加快国有经济布局优化，提高国有资本运营和监管效率，增强国有经济竞争力、控制力、影响力，做大做强做优国有资本。优化国有资本布局，推进国有资本与产业联动，在文化旅游、基础设施、公共服务、招商服务等重点领域，培育具有核心竞争力的国有企业。充分利用国有企业、公司融资平台、抓住国家农业开发银行的优惠政策、资金、服务优势，增强国有企业竞争力和抗风险能力。完善企业党委党组的决策领导作用，建立协调运转、有效制衡的现代企业管理机制，实现企业管理效率提升，确保企业具备管控投资、市场、财务、贪腐等各种风险能力提高。</w:t>
      </w:r>
    </w:p>
    <w:p>
      <w:pPr>
        <w:rPr>
          <w:rFonts w:hint="default"/>
          <w:lang w:val="en-US" w:eastAsia="zh-CN"/>
        </w:rPr>
      </w:pPr>
      <w:bookmarkStart w:id="307" w:name="_Toc12039"/>
      <w:bookmarkStart w:id="308" w:name="_Toc19003"/>
    </w:p>
    <w:p>
      <w:pPr>
        <w:pStyle w:val="7"/>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楷体_GBK" w:hAnsi="方正楷体_GBK" w:eastAsia="方正楷体_GBK" w:cs="方正楷体_GBK"/>
          <w:b w:val="0"/>
          <w:bCs/>
          <w:sz w:val="31"/>
          <w:szCs w:val="31"/>
          <w:lang w:val="en-US" w:eastAsia="zh-CN"/>
        </w:rPr>
      </w:pPr>
      <w:bookmarkStart w:id="309" w:name="_Toc31757"/>
      <w:bookmarkStart w:id="310" w:name="_Toc10364"/>
      <w:bookmarkStart w:id="311" w:name="_Toc25132"/>
      <w:bookmarkStart w:id="312" w:name="_Toc30976"/>
      <w:bookmarkStart w:id="313" w:name="_Toc27670"/>
      <w:r>
        <w:rPr>
          <w:rFonts w:hint="default" w:ascii="方正楷体_GBK" w:hAnsi="方正楷体_GBK" w:eastAsia="方正楷体_GBK" w:cs="方正楷体_GBK"/>
          <w:b w:val="0"/>
          <w:bCs/>
          <w:sz w:val="31"/>
          <w:szCs w:val="31"/>
          <w:lang w:val="en-US" w:eastAsia="zh-CN"/>
        </w:rPr>
        <w:t>第三节  深化金融改革</w:t>
      </w:r>
      <w:bookmarkEnd w:id="307"/>
      <w:bookmarkEnd w:id="308"/>
      <w:bookmarkEnd w:id="309"/>
      <w:bookmarkEnd w:id="310"/>
      <w:bookmarkEnd w:id="311"/>
      <w:bookmarkEnd w:id="312"/>
      <w:bookmarkEnd w:id="313"/>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rPr>
        <w:t>发挥政府投资对社会资本的引导带动作用，采取资本金注入、直接投资、投资补助、基金注资、运营补贴等不同的投资方式，提高政府投资资金使用效率。稳妥规范运用政府和社会资本合作模式，扩大公共服务供给能力。进一步健全政策性融资担保体系，创新担保方式，继续完善普惠金融组织体系，大力发展贴近市场和微观经济主体的小型金融机构，支持“三农”、小微企业发展。深化农村支付环境建设，推动支付服务进村入户，加强农村信用体系建设，促进信用与信贷联动。建立健全普惠金融服务和保障体系，提升金融服务满意度，让农民、小型合作社、小微企业等弱势群体获得均等化的金融服务。</w:t>
      </w:r>
    </w:p>
    <w:p>
      <w:pPr>
        <w:rPr>
          <w:rFonts w:hint="default"/>
          <w:lang w:val="en-US" w:eastAsia="zh-CN"/>
        </w:rPr>
      </w:pPr>
      <w:bookmarkStart w:id="314" w:name="_Toc885"/>
      <w:bookmarkStart w:id="315" w:name="_Toc15275"/>
    </w:p>
    <w:p>
      <w:pPr>
        <w:pStyle w:val="7"/>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楷体_GBK" w:hAnsi="方正楷体_GBK" w:eastAsia="方正楷体_GBK" w:cs="方正楷体_GBK"/>
          <w:b w:val="0"/>
          <w:bCs/>
          <w:sz w:val="31"/>
          <w:szCs w:val="31"/>
          <w:lang w:val="en-US" w:eastAsia="zh-CN"/>
        </w:rPr>
      </w:pPr>
      <w:bookmarkStart w:id="316" w:name="_Toc15944"/>
      <w:bookmarkStart w:id="317" w:name="_Toc18094"/>
      <w:bookmarkStart w:id="318" w:name="_Toc4453"/>
      <w:bookmarkStart w:id="319" w:name="_Toc17901"/>
      <w:bookmarkStart w:id="320" w:name="_Toc16846"/>
      <w:r>
        <w:rPr>
          <w:rFonts w:hint="default" w:ascii="方正楷体_GBK" w:hAnsi="方正楷体_GBK" w:eastAsia="方正楷体_GBK" w:cs="方正楷体_GBK"/>
          <w:b w:val="0"/>
          <w:bCs/>
          <w:sz w:val="31"/>
          <w:szCs w:val="31"/>
          <w:lang w:val="en-US" w:eastAsia="zh-CN"/>
        </w:rPr>
        <w:t>第四节  深化农村体制改革</w:t>
      </w:r>
      <w:bookmarkEnd w:id="314"/>
      <w:bookmarkEnd w:id="315"/>
      <w:bookmarkEnd w:id="316"/>
      <w:bookmarkEnd w:id="317"/>
      <w:bookmarkEnd w:id="318"/>
      <w:bookmarkEnd w:id="319"/>
      <w:bookmarkEnd w:id="320"/>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rPr>
        <w:t>落实第二轮土地承包到期后再延长三十年政策，加快培育新型农业经营主体，健全农业专业化社会化服务体系，发展多种形式适度规模经营，提升农民合作社规范化水平和服务带动能力，实现小农户和现代农业发展有机衔接。做好农村土地确权登记颁证成果运用，加快实现承包土地信息联通共享。完善农村承包地“三权”分置制度，推动土地流转型、土地入股型、服务带动型规模经营，提高农业集约化程度。扶持壮大农村集体经济，稳步推进农村集体产权制度改革，推动资源变资产、资金变股金、农民变股东，实施“百村示范、千村试点、万村推进”行动，拓展集体经济实现形式，增强集体经济发展活力。保障进城落户农民土地承包权、宅基地使用权、集体收益分配权，鼓励依法自愿有偿转让。深化供销合作社综合改革。创新农村金融服务体系，发展农业保险。</w:t>
      </w:r>
    </w:p>
    <w:p>
      <w:pPr>
        <w:rPr>
          <w:rFonts w:hint="default"/>
          <w:lang w:val="en-US" w:eastAsia="zh-CN"/>
        </w:rPr>
      </w:pPr>
      <w:bookmarkStart w:id="321" w:name="_Toc2180"/>
      <w:bookmarkStart w:id="322" w:name="_Toc16501"/>
      <w:bookmarkStart w:id="323" w:name="_Toc2474"/>
      <w:bookmarkStart w:id="324" w:name="_Toc12066"/>
      <w:bookmarkStart w:id="325" w:name="_Toc10471"/>
      <w:bookmarkStart w:id="326" w:name="_Toc32670"/>
      <w:bookmarkStart w:id="327" w:name="_Toc29181"/>
    </w:p>
    <w:p>
      <w:pPr>
        <w:pStyle w:val="2"/>
        <w:rPr>
          <w:rFonts w:hint="default"/>
          <w:lang w:val="en-US" w:eastAsia="zh-CN"/>
        </w:rPr>
      </w:pPr>
    </w:p>
    <w:p>
      <w:pPr>
        <w:pStyle w:val="7"/>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楷体_GBK" w:hAnsi="方正楷体_GBK" w:eastAsia="方正楷体_GBK" w:cs="方正楷体_GBK"/>
          <w:b w:val="0"/>
          <w:bCs/>
          <w:sz w:val="31"/>
          <w:szCs w:val="31"/>
          <w:lang w:val="en-US" w:eastAsia="zh-CN"/>
        </w:rPr>
      </w:pPr>
      <w:r>
        <w:rPr>
          <w:rFonts w:hint="default" w:ascii="方正楷体_GBK" w:hAnsi="方正楷体_GBK" w:eastAsia="方正楷体_GBK" w:cs="方正楷体_GBK"/>
          <w:b w:val="0"/>
          <w:bCs/>
          <w:sz w:val="31"/>
          <w:szCs w:val="31"/>
          <w:lang w:val="en-US" w:eastAsia="zh-CN"/>
        </w:rPr>
        <w:t>第五节  发展壮大民营经济</w:t>
      </w:r>
      <w:bookmarkEnd w:id="321"/>
      <w:bookmarkEnd w:id="322"/>
      <w:bookmarkEnd w:id="323"/>
      <w:bookmarkEnd w:id="324"/>
      <w:bookmarkEnd w:id="325"/>
      <w:bookmarkEnd w:id="326"/>
      <w:bookmarkEnd w:id="327"/>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坚持“两个毫不动摇”，将民营经济发展放在更加突出位置，推进建立公平竞争审查制度，努力破除民营企业在市场准入、审批许可、经营运行、招投标等方面的各种限制和隐形壁垒。拓宽民营企业融资途径，鼓励金融机构增加民营企业、小微企业信贷投放，建立小微企业降低融资担保成本奖补机制。放宽民间投资准入，鼓励民间资本采取混合所有制、联合招投标等方式参与政府和社会资本合作项目。</w:t>
      </w:r>
    </w:p>
    <w:p>
      <w:pPr>
        <w:rPr>
          <w:rFonts w:hint="default"/>
          <w:lang w:val="en-US" w:eastAsia="zh-CN"/>
        </w:rPr>
      </w:pPr>
      <w:bookmarkStart w:id="328" w:name="_Toc8551"/>
    </w:p>
    <w:p>
      <w:pPr>
        <w:pStyle w:val="6"/>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黑体_GBK" w:hAnsi="方正黑体_GBK" w:eastAsia="方正黑体_GBK" w:cs="方正黑体_GBK"/>
          <w:b w:val="0"/>
          <w:bCs w:val="0"/>
          <w:sz w:val="31"/>
          <w:szCs w:val="31"/>
          <w:lang w:val="en-US" w:eastAsia="zh-CN"/>
        </w:rPr>
      </w:pPr>
      <w:bookmarkStart w:id="329" w:name="_Toc11376"/>
      <w:bookmarkStart w:id="330" w:name="_Toc25509"/>
      <w:bookmarkStart w:id="331" w:name="_Toc16479"/>
      <w:bookmarkStart w:id="332" w:name="_Toc25457"/>
      <w:bookmarkStart w:id="333" w:name="_Toc4903"/>
      <w:r>
        <w:rPr>
          <w:rFonts w:hint="default" w:ascii="方正黑体_GBK" w:hAnsi="方正黑体_GBK" w:eastAsia="方正黑体_GBK" w:cs="方正黑体_GBK"/>
          <w:b w:val="0"/>
          <w:bCs w:val="0"/>
          <w:sz w:val="31"/>
          <w:szCs w:val="31"/>
          <w:lang w:val="en-US" w:eastAsia="zh-CN"/>
        </w:rPr>
        <w:t>第九章  着力加强生态环境保护，提高生态文明水平</w:t>
      </w:r>
      <w:bookmarkEnd w:id="328"/>
      <w:bookmarkEnd w:id="329"/>
      <w:bookmarkEnd w:id="330"/>
      <w:bookmarkEnd w:id="331"/>
      <w:bookmarkEnd w:id="332"/>
      <w:bookmarkEnd w:id="333"/>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zh-CN"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zh-CN" w:eastAsia="zh-CN"/>
        </w:rPr>
      </w:pPr>
      <w:r>
        <w:rPr>
          <w:rFonts w:hint="default" w:ascii="Times New Roman" w:hAnsi="Times New Roman" w:eastAsia="方正仿宋_GBK" w:cs="Times New Roman"/>
          <w:sz w:val="31"/>
          <w:szCs w:val="31"/>
          <w:lang w:val="zh-CN" w:eastAsia="zh-CN"/>
        </w:rPr>
        <w:t>牢固树立绿水青山就是金山银山的理念，健全生态环境保护机制，加大污染防治力度，实行最严格的生态保护等制度，落实生态保护责任，坚定不移走生产发展、生活富裕、生态良好的文明发展道路。</w:t>
      </w:r>
    </w:p>
    <w:p>
      <w:pPr>
        <w:rPr>
          <w:rFonts w:hint="default"/>
          <w:lang w:val="en-US" w:eastAsia="zh-CN"/>
        </w:rPr>
      </w:pPr>
      <w:bookmarkStart w:id="334" w:name="_Toc8784"/>
    </w:p>
    <w:p>
      <w:pPr>
        <w:pStyle w:val="7"/>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楷体_GBK" w:hAnsi="方正楷体_GBK" w:eastAsia="方正楷体_GBK" w:cs="方正楷体_GBK"/>
          <w:b w:val="0"/>
          <w:bCs/>
          <w:sz w:val="31"/>
          <w:szCs w:val="31"/>
          <w:lang w:val="en-US" w:eastAsia="zh-CN"/>
        </w:rPr>
      </w:pPr>
      <w:bookmarkStart w:id="335" w:name="_Toc16155"/>
      <w:bookmarkStart w:id="336" w:name="_Toc16147"/>
      <w:bookmarkStart w:id="337" w:name="_Toc27062"/>
      <w:bookmarkStart w:id="338" w:name="_Toc6436"/>
      <w:bookmarkStart w:id="339" w:name="_Toc2450"/>
      <w:r>
        <w:rPr>
          <w:rFonts w:hint="default" w:ascii="方正楷体_GBK" w:hAnsi="方正楷体_GBK" w:eastAsia="方正楷体_GBK" w:cs="方正楷体_GBK"/>
          <w:b w:val="0"/>
          <w:bCs/>
          <w:sz w:val="31"/>
          <w:szCs w:val="31"/>
          <w:lang w:val="en-US" w:eastAsia="zh-CN"/>
        </w:rPr>
        <w:t>第一节  持续深化污染防治和生态环境建设</w:t>
      </w:r>
      <w:bookmarkEnd w:id="334"/>
      <w:bookmarkEnd w:id="335"/>
      <w:bookmarkEnd w:id="336"/>
      <w:bookmarkEnd w:id="337"/>
      <w:bookmarkEnd w:id="338"/>
      <w:bookmarkEnd w:id="339"/>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eastAsia="zh-CN"/>
        </w:rPr>
        <w:t>坚持全民共治、源头防治，继续打好蓝天碧水净土保卫战。统筹建设森林、湿地、流域、农田、城市五大生态系统，开展山水林田湖草沙一体化生态保护修复试点，深入实施县域内开都河、霍拉山、相思湖湿地、等生态保护修复工程，开展大规模国土绿化行动，实施新一轮退耕还林、扩大退牧还草工程实施范围，加强土壤环境保护和综合治理，改善耕地质量。</w:t>
      </w:r>
      <w:r>
        <w:rPr>
          <w:rFonts w:hint="default" w:ascii="Times New Roman" w:hAnsi="Times New Roman" w:eastAsia="方正仿宋_GBK" w:cs="Times New Roman"/>
          <w:sz w:val="31"/>
          <w:szCs w:val="31"/>
          <w:lang w:val="en-US" w:eastAsia="zh-CN"/>
        </w:rPr>
        <w:t>生态系统质量和功能得到进一步提升，生态系统稳定性增强，工业污染源全面稳定达标。</w:t>
      </w:r>
      <w:r>
        <w:rPr>
          <w:rFonts w:hint="default" w:ascii="Times New Roman" w:hAnsi="Times New Roman" w:eastAsia="方正仿宋_GBK" w:cs="Times New Roman"/>
          <w:sz w:val="31"/>
          <w:szCs w:val="31"/>
          <w:lang w:eastAsia="zh-CN"/>
        </w:rPr>
        <w:t>建立完善垃圾分类投放、分类收集、分类运输、分类处理系统，全面推广既有建筑节能改造、绿色建筑和装配式建筑，加强动力电池回收利用，全面落实环保法、环保条例等法律法规，健全环境保护督察机制，落实生态环境保护党政同责、一岗双责。</w:t>
      </w:r>
      <w:r>
        <w:rPr>
          <w:rFonts w:hint="default" w:ascii="Times New Roman" w:hAnsi="Times New Roman" w:eastAsia="方正仿宋_GBK" w:cs="Times New Roman"/>
          <w:sz w:val="31"/>
          <w:szCs w:val="31"/>
          <w:lang w:val="en-US" w:eastAsia="zh-CN"/>
        </w:rPr>
        <w:t>紧紧抓住改善环境质量这核心，实行最严格的环境保护制度，巩固水、气、土三大战役成果。充分发挥兵地大气污染防治联动作用，共同推进重点控制区域空气质量持续改善</w:t>
      </w:r>
      <w:r>
        <w:rPr>
          <w:rFonts w:hint="eastAsia" w:ascii="Times New Roman" w:hAnsi="Times New Roman" w:eastAsia="方正仿宋_GBK" w:cs="Times New Roman"/>
          <w:sz w:val="31"/>
          <w:szCs w:val="31"/>
          <w:lang w:val="en-US" w:eastAsia="zh-CN"/>
        </w:rPr>
        <w:t>。“十四五”末，</w:t>
      </w:r>
      <w:r>
        <w:rPr>
          <w:rFonts w:hint="default" w:ascii="Times New Roman" w:hAnsi="Times New Roman" w:eastAsia="方正仿宋_GBK" w:cs="Times New Roman"/>
          <w:sz w:val="31"/>
          <w:szCs w:val="31"/>
          <w:lang w:val="en-US" w:eastAsia="zh-CN"/>
        </w:rPr>
        <w:t>环境空气质量优良天数比率（扣除风沙影响）达到82%以上。建立完善的土壤环境风险管控体系，基本实现土壤安全利用。饮用水水源水质达到或优于《地下水环境质量标准》Ⅲ类比例100%。</w:t>
      </w:r>
    </w:p>
    <w:p>
      <w:pPr>
        <w:rPr>
          <w:rFonts w:hint="default"/>
          <w:lang w:val="en-US" w:eastAsia="zh-CN"/>
        </w:rPr>
      </w:pPr>
      <w:bookmarkStart w:id="340" w:name="_Toc8010"/>
      <w:bookmarkStart w:id="341" w:name="_Toc24572"/>
      <w:bookmarkStart w:id="342" w:name="_Toc20119"/>
      <w:bookmarkStart w:id="343" w:name="_Toc31421"/>
    </w:p>
    <w:p>
      <w:pPr>
        <w:pStyle w:val="7"/>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楷体_GBK" w:hAnsi="方正楷体_GBK" w:eastAsia="方正楷体_GBK" w:cs="方正楷体_GBK"/>
          <w:b w:val="0"/>
          <w:bCs/>
          <w:sz w:val="31"/>
          <w:szCs w:val="31"/>
          <w:lang w:val="en-US" w:eastAsia="zh-CN"/>
        </w:rPr>
      </w:pPr>
      <w:bookmarkStart w:id="344" w:name="_Toc13899"/>
      <w:bookmarkStart w:id="345" w:name="_Toc14627"/>
      <w:r>
        <w:rPr>
          <w:rFonts w:hint="default" w:ascii="方正楷体_GBK" w:hAnsi="方正楷体_GBK" w:eastAsia="方正楷体_GBK" w:cs="方正楷体_GBK"/>
          <w:b w:val="0"/>
          <w:bCs/>
          <w:sz w:val="31"/>
          <w:szCs w:val="31"/>
          <w:lang w:val="en-US" w:eastAsia="zh-CN"/>
        </w:rPr>
        <w:t>第二节  发展生态经济将绿水青山转化为生产力</w:t>
      </w:r>
      <w:bookmarkEnd w:id="340"/>
      <w:bookmarkEnd w:id="341"/>
      <w:bookmarkEnd w:id="342"/>
      <w:bookmarkEnd w:id="343"/>
      <w:bookmarkEnd w:id="344"/>
      <w:bookmarkEnd w:id="345"/>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牢固树立“环保优先、生态立县”理念，积极利用我县资源、生态、区位等优势，以发展生态经济、循环经济、低碳经济、绿色经济为重点，大力推动低污染、低能耗、低水耗、高附加值的绿色产业发展。环境风险防控能力显著提升，山水林田湖草生态系统服务功能显著提高，蓝天白云、绿水青山成为常态，人民群众对优美生态环境的幸福感、获得感、安全感显著提升。</w:t>
      </w:r>
      <w:r>
        <w:rPr>
          <w:rFonts w:hint="default" w:ascii="Times New Roman" w:hAnsi="Times New Roman" w:eastAsia="方正仿宋_GBK" w:cs="Times New Roman"/>
          <w:sz w:val="31"/>
          <w:szCs w:val="31"/>
          <w:lang w:eastAsia="zh-CN"/>
        </w:rPr>
        <w:t>依托生态环境优势，全力培育城区生态服务业，高质量承接产业转移，做大做强河北巴州生态产业园，建设绿色有机食品生产基地，培育新能源、新材料、节能环保等战略性新兴产业，大力发展高效生态农牧业，做优富硒有机农牧业，延长加工和物流商贸产业链，重点生态功能区则用好自然和文化资源，发展生态旅游和康养产业，充分释放生态红利。</w:t>
      </w:r>
      <w:r>
        <w:rPr>
          <w:rFonts w:hint="default" w:ascii="Times New Roman" w:hAnsi="Times New Roman" w:eastAsia="方正仿宋_GBK" w:cs="Times New Roman"/>
          <w:sz w:val="31"/>
          <w:szCs w:val="31"/>
          <w:lang w:val="en-US" w:eastAsia="zh-CN"/>
        </w:rPr>
        <w:t>结合生态环境日常监管、违法案件查处、污染源在线监控等情况，对工业污染源排放情况进行深入分析，全面排查工业污染源排放，确保各项主要污染物排放达标率100%。</w:t>
      </w:r>
    </w:p>
    <w:p>
      <w:pPr>
        <w:rPr>
          <w:rFonts w:hint="default"/>
          <w:lang w:val="en-US" w:eastAsia="zh-CN"/>
        </w:rPr>
      </w:pPr>
      <w:bookmarkStart w:id="346" w:name="_Toc10347"/>
    </w:p>
    <w:p>
      <w:pPr>
        <w:pStyle w:val="7"/>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楷体_GBK" w:hAnsi="方正楷体_GBK" w:eastAsia="方正楷体_GBK" w:cs="方正楷体_GBK"/>
          <w:b w:val="0"/>
          <w:bCs/>
          <w:sz w:val="31"/>
          <w:szCs w:val="31"/>
          <w:lang w:val="en-US" w:eastAsia="zh-CN"/>
        </w:rPr>
      </w:pPr>
      <w:bookmarkStart w:id="347" w:name="_Toc22074"/>
      <w:bookmarkStart w:id="348" w:name="_Toc3385"/>
      <w:bookmarkStart w:id="349" w:name="_Toc32582"/>
      <w:bookmarkStart w:id="350" w:name="_Toc4983"/>
      <w:bookmarkStart w:id="351" w:name="_Toc3625"/>
      <w:r>
        <w:rPr>
          <w:rFonts w:hint="default" w:ascii="方正楷体_GBK" w:hAnsi="方正楷体_GBK" w:eastAsia="方正楷体_GBK" w:cs="方正楷体_GBK"/>
          <w:b w:val="0"/>
          <w:bCs/>
          <w:sz w:val="31"/>
          <w:szCs w:val="31"/>
          <w:lang w:val="en-US" w:eastAsia="zh-CN"/>
        </w:rPr>
        <w:t>第三节  推动绿色低碳发展</w:t>
      </w:r>
      <w:bookmarkEnd w:id="346"/>
      <w:bookmarkEnd w:id="347"/>
      <w:bookmarkEnd w:id="348"/>
      <w:bookmarkEnd w:id="349"/>
      <w:bookmarkEnd w:id="350"/>
      <w:bookmarkEnd w:id="351"/>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全面贯彻落实生态环境保护工作，全面提升环境治理能力现代化能力，</w:t>
      </w:r>
      <w:r>
        <w:rPr>
          <w:rFonts w:hint="default" w:ascii="Times New Roman" w:hAnsi="Times New Roman" w:eastAsia="方正仿宋_GBK" w:cs="Times New Roman"/>
          <w:sz w:val="31"/>
          <w:szCs w:val="31"/>
        </w:rPr>
        <w:t>推动建立绿色循环低碳产业发展体系，着力控制能源、水资源、建设用地消耗总量和强度，严格执行绿色产业指导目标标准，实施环境准入负面清单管理，落实能源消耗总量和强度双控制度。提高清洁能源比重。加大充电设施建设力度，发展绿色交通体系。发展绿色低碳循环产业，推动企业清洁化升级转型和绿色工厂建设。推行垃圾分类和减量化、资源化。</w:t>
      </w:r>
      <w:r>
        <w:rPr>
          <w:rFonts w:hint="default" w:ascii="Times New Roman" w:hAnsi="Times New Roman" w:eastAsia="方正仿宋_GBK" w:cs="Times New Roman"/>
          <w:sz w:val="31"/>
          <w:szCs w:val="31"/>
          <w:lang w:val="en-US" w:eastAsia="zh-CN"/>
        </w:rPr>
        <w:t>加强生态文明宣传教育，倡导简约适度、绿色低碳的生活方式。推进园区绿色循环发展，按照循环经济“减量化、再利用、资源化”的理念，推动企业循环式生产，提高资源利用效率，降低污染排放，提升区域内经济绿色循环低碳发展。预期工业用水重复利用率达到66%以上、中水回用率达到40%、废旧地膜回收率≥90、农作物农药化肥使用量逐年降低。</w:t>
      </w:r>
    </w:p>
    <w:p>
      <w:pPr>
        <w:rPr>
          <w:rFonts w:hint="default"/>
          <w:lang w:val="en-US" w:eastAsia="zh-CN"/>
        </w:rPr>
      </w:pPr>
      <w:bookmarkStart w:id="352" w:name="_Toc20302"/>
    </w:p>
    <w:p>
      <w:pPr>
        <w:pStyle w:val="6"/>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黑体_GBK" w:hAnsi="方正黑体_GBK" w:eastAsia="方正黑体_GBK" w:cs="方正黑体_GBK"/>
          <w:b w:val="0"/>
          <w:bCs w:val="0"/>
          <w:sz w:val="31"/>
          <w:szCs w:val="31"/>
          <w:lang w:val="en-US" w:eastAsia="zh-CN"/>
        </w:rPr>
      </w:pPr>
      <w:bookmarkStart w:id="353" w:name="_Toc12938"/>
      <w:bookmarkStart w:id="354" w:name="_Toc402"/>
      <w:bookmarkStart w:id="355" w:name="_Toc6277"/>
      <w:bookmarkStart w:id="356" w:name="_Toc21869"/>
      <w:bookmarkStart w:id="357" w:name="_Toc15377"/>
      <w:r>
        <w:rPr>
          <w:rFonts w:hint="default" w:ascii="方正黑体_GBK" w:hAnsi="方正黑体_GBK" w:eastAsia="方正黑体_GBK" w:cs="方正黑体_GBK"/>
          <w:b w:val="0"/>
          <w:bCs w:val="0"/>
          <w:sz w:val="31"/>
          <w:szCs w:val="31"/>
          <w:lang w:val="en-US" w:eastAsia="zh-CN"/>
        </w:rPr>
        <w:t>第十章  持续保障和改善民生，不断增进人民福祉</w:t>
      </w:r>
      <w:bookmarkEnd w:id="352"/>
      <w:bookmarkEnd w:id="353"/>
      <w:bookmarkEnd w:id="354"/>
      <w:bookmarkEnd w:id="355"/>
      <w:bookmarkEnd w:id="356"/>
      <w:bookmarkEnd w:id="357"/>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eastAsia="zh-CN"/>
        </w:rPr>
      </w:pPr>
      <w:r>
        <w:rPr>
          <w:rFonts w:hint="default" w:ascii="Times New Roman" w:hAnsi="Times New Roman" w:eastAsia="方正仿宋_GBK" w:cs="Times New Roman"/>
          <w:sz w:val="31"/>
          <w:szCs w:val="31"/>
          <w:lang w:eastAsia="zh-CN"/>
        </w:rPr>
        <w:t>坚持把实现好、维护好、发展好最广大人民根本利益作为发展的出发点和落脚点，健全高质量教育、社会保障等公共服务体系，完善共建共享的社会治理制度，千方百计稳定和扩大就业，不断增强各族群众的获得感、幸福感、安全感。</w:t>
      </w:r>
    </w:p>
    <w:p>
      <w:pPr>
        <w:rPr>
          <w:rFonts w:hint="default"/>
          <w:lang w:val="en-US" w:eastAsia="zh-CN"/>
        </w:rPr>
      </w:pPr>
      <w:bookmarkStart w:id="358" w:name="_Toc3202"/>
    </w:p>
    <w:p>
      <w:pPr>
        <w:pStyle w:val="7"/>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楷体_GBK" w:hAnsi="方正楷体_GBK" w:eastAsia="方正楷体_GBK" w:cs="方正楷体_GBK"/>
          <w:b w:val="0"/>
          <w:bCs/>
          <w:sz w:val="31"/>
          <w:szCs w:val="31"/>
          <w:lang w:val="en-US" w:eastAsia="zh-CN"/>
        </w:rPr>
      </w:pPr>
      <w:bookmarkStart w:id="359" w:name="_Toc12070"/>
      <w:bookmarkStart w:id="360" w:name="_Toc4951"/>
      <w:bookmarkStart w:id="361" w:name="_Toc4611"/>
      <w:bookmarkStart w:id="362" w:name="_Toc24075"/>
      <w:bookmarkStart w:id="363" w:name="_Toc27753"/>
      <w:r>
        <w:rPr>
          <w:rFonts w:hint="default" w:ascii="方正楷体_GBK" w:hAnsi="方正楷体_GBK" w:eastAsia="方正楷体_GBK" w:cs="方正楷体_GBK"/>
          <w:b w:val="0"/>
          <w:bCs/>
          <w:sz w:val="31"/>
          <w:szCs w:val="31"/>
          <w:lang w:val="en-US" w:eastAsia="zh-CN"/>
        </w:rPr>
        <w:t>第一节  实施就业优先战略</w:t>
      </w:r>
      <w:bookmarkEnd w:id="358"/>
      <w:bookmarkEnd w:id="359"/>
      <w:bookmarkEnd w:id="360"/>
      <w:bookmarkEnd w:id="361"/>
      <w:bookmarkEnd w:id="362"/>
      <w:bookmarkEnd w:id="363"/>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eastAsia="zh-CN"/>
        </w:rPr>
      </w:pPr>
      <w:r>
        <w:rPr>
          <w:rFonts w:hint="eastAsia" w:ascii="Times New Roman" w:hAnsi="Times New Roman" w:eastAsia="方正仿宋_GBK" w:cs="Times New Roman"/>
          <w:sz w:val="31"/>
          <w:szCs w:val="31"/>
          <w:lang w:val="en-US" w:eastAsia="zh-CN"/>
        </w:rPr>
        <w:t>坚持就业优先战略，</w:t>
      </w:r>
      <w:r>
        <w:rPr>
          <w:rFonts w:hint="default" w:ascii="Times New Roman" w:hAnsi="Times New Roman" w:eastAsia="方正仿宋_GBK" w:cs="Times New Roman"/>
          <w:sz w:val="31"/>
          <w:szCs w:val="31"/>
          <w:lang w:val="en-US" w:eastAsia="zh-CN"/>
        </w:rPr>
        <w:t>稳定现有就业</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增加新的就业</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促进失业人员再就业</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支持多渠道灵活就业，发展新就业形态，保障劳动者待遇和权益，提高就业质量。</w:t>
      </w:r>
      <w:r>
        <w:rPr>
          <w:rFonts w:hint="eastAsia" w:ascii="Times New Roman" w:hAnsi="Times New Roman" w:eastAsia="方正仿宋_GBK" w:cs="Times New Roman"/>
          <w:sz w:val="31"/>
          <w:szCs w:val="31"/>
          <w:lang w:val="en-US" w:eastAsia="zh-CN"/>
        </w:rPr>
        <w:t>把实施就业政策摆在更加突出位置，积极围绕劳动者自主创业，市场调解就业、政府促进就业和鼓励创业带动就业方针，</w:t>
      </w:r>
      <w:r>
        <w:rPr>
          <w:rFonts w:hint="eastAsia" w:ascii="Times New Roman" w:hAnsi="Times New Roman" w:eastAsia="方正仿宋_GBK" w:cs="Times New Roman"/>
          <w:sz w:val="31"/>
          <w:szCs w:val="31"/>
          <w:lang w:eastAsia="zh-CN"/>
        </w:rPr>
        <w:t>就业规模稳步扩大，就业质量全面提升，创业环境显著改善，</w:t>
      </w:r>
      <w:r>
        <w:rPr>
          <w:rFonts w:hint="eastAsia" w:ascii="Times New Roman" w:hAnsi="Times New Roman" w:eastAsia="方正仿宋_GBK" w:cs="Times New Roman"/>
          <w:sz w:val="31"/>
          <w:szCs w:val="31"/>
          <w:lang w:val="en-US" w:eastAsia="zh-CN"/>
        </w:rPr>
        <w:t>职业技能培训力度不断加大，</w:t>
      </w:r>
      <w:r>
        <w:rPr>
          <w:rFonts w:hint="eastAsia" w:ascii="Times New Roman" w:hAnsi="Times New Roman" w:eastAsia="方正仿宋_GBK" w:cs="Times New Roman"/>
          <w:sz w:val="31"/>
          <w:szCs w:val="31"/>
          <w:lang w:eastAsia="zh-CN"/>
        </w:rPr>
        <w:t>劳动就业创业能力明显提高。公共就业服务逐步健全，就业优先政策不断完善，支持创业、帮扶中小微企业，通过保住更多市场主体保住就业岗位。进一步拓宽就业渠道，优化就业结构。</w:t>
      </w:r>
      <w:r>
        <w:rPr>
          <w:rFonts w:hint="default" w:ascii="Times New Roman" w:hAnsi="Times New Roman" w:eastAsia="方正仿宋_GBK" w:cs="Times New Roman"/>
          <w:sz w:val="31"/>
          <w:szCs w:val="31"/>
          <w:lang w:val="en-US" w:eastAsia="zh-CN"/>
        </w:rPr>
        <w:t>健全公共就业服务体系、劳动关系协调机制，健全就业需求调查、动态监测和失业监测预警机制。健全创业扶持政策和激励机制，做好农村富余劳动力、就业困难人员、退役军人等重点群体的就业创业，推动大众创业万众创新。扩大公益性岗位安置，帮扶残疾人、零就业家庭成员就业。不断健全完善劳动者技能培训政策和组织实施体系，实施农民技能提升行动，支持困难企业开展职工在岗培训。优化提升劳务就业大数据平台。</w:t>
      </w:r>
      <w:r>
        <w:rPr>
          <w:rFonts w:hint="eastAsia" w:ascii="Times New Roman" w:hAnsi="Times New Roman" w:eastAsia="方正仿宋_GBK" w:cs="Times New Roman"/>
          <w:sz w:val="31"/>
          <w:szCs w:val="31"/>
          <w:lang w:eastAsia="zh-CN"/>
        </w:rPr>
        <w:t>“十四五”末，累计实现城镇各类人员就业</w:t>
      </w:r>
      <w:r>
        <w:rPr>
          <w:rFonts w:hint="eastAsia" w:ascii="Times New Roman" w:hAnsi="Times New Roman" w:eastAsia="方正仿宋_GBK" w:cs="Times New Roman"/>
          <w:sz w:val="31"/>
          <w:szCs w:val="31"/>
          <w:lang w:val="en-US" w:eastAsia="zh-CN"/>
        </w:rPr>
        <w:t>1.6</w:t>
      </w:r>
      <w:r>
        <w:rPr>
          <w:rFonts w:hint="eastAsia" w:ascii="Times New Roman" w:hAnsi="Times New Roman" w:eastAsia="方正仿宋_GBK" w:cs="Times New Roman"/>
          <w:sz w:val="31"/>
          <w:szCs w:val="31"/>
          <w:lang w:eastAsia="zh-CN"/>
        </w:rPr>
        <w:t>万人次，城镇登记失业率控制在3%以内，农业富余劳动力转移年均</w:t>
      </w:r>
      <w:r>
        <w:rPr>
          <w:rFonts w:hint="eastAsia" w:ascii="Times New Roman" w:hAnsi="Times New Roman" w:eastAsia="方正仿宋_GBK" w:cs="Times New Roman"/>
          <w:sz w:val="31"/>
          <w:szCs w:val="31"/>
          <w:lang w:val="en-US" w:eastAsia="zh-CN"/>
        </w:rPr>
        <w:t>1.5</w:t>
      </w:r>
      <w:r>
        <w:rPr>
          <w:rFonts w:hint="eastAsia" w:ascii="Times New Roman" w:hAnsi="Times New Roman" w:eastAsia="方正仿宋_GBK" w:cs="Times New Roman"/>
          <w:sz w:val="31"/>
          <w:szCs w:val="31"/>
          <w:lang w:eastAsia="zh-CN"/>
        </w:rPr>
        <w:t>万人次，职业技能培训年均</w:t>
      </w:r>
      <w:r>
        <w:rPr>
          <w:rFonts w:hint="eastAsia" w:ascii="Times New Roman" w:hAnsi="Times New Roman" w:eastAsia="方正仿宋_GBK" w:cs="Times New Roman"/>
          <w:sz w:val="31"/>
          <w:szCs w:val="31"/>
          <w:lang w:val="en-US" w:eastAsia="zh-CN"/>
        </w:rPr>
        <w:t>3</w:t>
      </w:r>
      <w:r>
        <w:rPr>
          <w:rFonts w:hint="eastAsia" w:ascii="Times New Roman" w:hAnsi="Times New Roman" w:eastAsia="方正仿宋_GBK" w:cs="Times New Roman"/>
          <w:sz w:val="31"/>
          <w:szCs w:val="31"/>
          <w:lang w:eastAsia="zh-CN"/>
        </w:rPr>
        <w:t>000人次。</w:t>
      </w:r>
    </w:p>
    <w:p>
      <w:pPr>
        <w:rPr>
          <w:rFonts w:hint="default"/>
          <w:lang w:val="en-US" w:eastAsia="zh-CN"/>
        </w:rPr>
      </w:pPr>
      <w:bookmarkStart w:id="364" w:name="_Toc5440"/>
    </w:p>
    <w:p>
      <w:pPr>
        <w:pStyle w:val="7"/>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楷体_GBK" w:hAnsi="方正楷体_GBK" w:eastAsia="方正楷体_GBK" w:cs="方正楷体_GBK"/>
          <w:b w:val="0"/>
          <w:bCs/>
          <w:sz w:val="31"/>
          <w:szCs w:val="31"/>
          <w:lang w:val="en-US" w:eastAsia="zh-CN"/>
        </w:rPr>
      </w:pPr>
      <w:bookmarkStart w:id="365" w:name="_Toc2012"/>
      <w:bookmarkStart w:id="366" w:name="_Toc18226"/>
      <w:bookmarkStart w:id="367" w:name="_Toc5654"/>
      <w:bookmarkStart w:id="368" w:name="_Toc13828"/>
      <w:bookmarkStart w:id="369" w:name="_Toc11014"/>
      <w:r>
        <w:rPr>
          <w:rFonts w:hint="default" w:ascii="方正楷体_GBK" w:hAnsi="方正楷体_GBK" w:eastAsia="方正楷体_GBK" w:cs="方正楷体_GBK"/>
          <w:b w:val="0"/>
          <w:bCs/>
          <w:sz w:val="31"/>
          <w:szCs w:val="31"/>
          <w:lang w:val="en-US" w:eastAsia="zh-CN"/>
        </w:rPr>
        <w:t>第二节  推进教育高质量发展</w:t>
      </w:r>
      <w:bookmarkEnd w:id="364"/>
      <w:bookmarkEnd w:id="365"/>
      <w:bookmarkEnd w:id="366"/>
      <w:bookmarkEnd w:id="367"/>
      <w:bookmarkEnd w:id="368"/>
      <w:bookmarkEnd w:id="369"/>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优先发展教育事业，全面贯彻党的教育方针政策，以办好人民满意教育为目标，落实立德树人根本任务，全面深化教育改革，强化教育保障，推进信息技术与教育教学深度融合，提高教学质量。完善普及普惠性学前教育和特殊教育保障机制，推动义务教育向优质均衡城乡一体化迈进，提高高中阶段教育普及水平，鼓励高中阶段学校多样化发展，增强职业教育的适应性，深化职普融通、产教融合、校企合作，大力培养技术技能型人才。</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b/>
          <w:bCs/>
          <w:sz w:val="31"/>
          <w:szCs w:val="31"/>
          <w:lang w:val="en-US" w:eastAsia="zh-CN"/>
        </w:rPr>
        <w:t>——推进学前教育普及普惠发展。</w:t>
      </w:r>
      <w:r>
        <w:rPr>
          <w:rFonts w:hint="eastAsia" w:ascii="Times New Roman" w:hAnsi="Times New Roman" w:eastAsia="方正仿宋_GBK" w:cs="Times New Roman"/>
          <w:sz w:val="31"/>
          <w:szCs w:val="31"/>
          <w:lang w:val="en-US" w:eastAsia="zh-CN"/>
        </w:rPr>
        <w:t>按照《中共中央国务院关于学前教育深化改革规范发展的若干意见》要求，进一步完善政府主导、社会参与、公办民办并举的学前教育办园体制，构建“广覆盖、保基本、有质量”的学前教育公共服务体系。合理规划幼儿园布局，扩大普惠性学前教育资源供给，加强质量监管、业务指导与督导评估，不断提升保教质量，做到学前三年教育应入尽入，入学率达到100%。</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b/>
          <w:bCs/>
          <w:sz w:val="31"/>
          <w:szCs w:val="31"/>
          <w:lang w:val="en-US" w:eastAsia="zh-CN"/>
        </w:rPr>
        <w:t>——推进义务教育优质均衡发展。</w:t>
      </w:r>
      <w:r>
        <w:rPr>
          <w:rFonts w:hint="eastAsia" w:ascii="Times New Roman" w:hAnsi="Times New Roman" w:eastAsia="方正仿宋_GBK" w:cs="Times New Roman"/>
          <w:sz w:val="31"/>
          <w:szCs w:val="31"/>
          <w:lang w:val="en-US" w:eastAsia="zh-CN"/>
        </w:rPr>
        <w:t>统筹推进县域内城乡义务教育一体化改革发展，着力缩小城乡义务教育差距，促进教育公平。结合乡村振兴战略和新型城镇化发展规划，保障学校建设用地，合理布局学校建设，不断完善控辍保学工作机制，确保义务教育阶段入学率达到100%。统筹推进义务教育一体化进程，把第四中学建成一流的高质量学校，保障充足学位供给，解决好择校热、大班额问题，到2024年实现以优异成绩通过创建优质教育均衡验收。</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b/>
          <w:bCs/>
          <w:sz w:val="31"/>
          <w:szCs w:val="31"/>
          <w:lang w:val="en-US" w:eastAsia="zh-CN"/>
        </w:rPr>
        <w:t>——推动普通高中优质特色发展。</w:t>
      </w:r>
      <w:r>
        <w:rPr>
          <w:rFonts w:hint="eastAsia" w:ascii="Times New Roman" w:hAnsi="Times New Roman" w:eastAsia="方正仿宋_GBK" w:cs="Times New Roman"/>
          <w:sz w:val="31"/>
          <w:szCs w:val="31"/>
          <w:lang w:val="en-US" w:eastAsia="zh-CN"/>
        </w:rPr>
        <w:t>推进普通高中改革计划，落实学科课程方案和课程标准，有序推进选课走班，积极探索新课程实施路径，着力提升教育质量。巩固提升焉耆县第一中学示范性高中的成果。</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b/>
          <w:bCs/>
          <w:sz w:val="31"/>
          <w:szCs w:val="31"/>
          <w:lang w:val="en-US" w:eastAsia="zh-CN"/>
        </w:rPr>
        <w:t>——大力发展职业教育。</w:t>
      </w:r>
      <w:r>
        <w:rPr>
          <w:rFonts w:hint="eastAsia" w:ascii="Times New Roman" w:hAnsi="Times New Roman" w:eastAsia="方正仿宋_GBK" w:cs="Times New Roman"/>
          <w:sz w:val="31"/>
          <w:szCs w:val="31"/>
          <w:lang w:val="en-US" w:eastAsia="zh-CN"/>
        </w:rPr>
        <w:t>根据焉耆县产业发展规划，坚持面向市场、服务发展、促进就业的办学方向，大力培养“双师型”教师队伍，推进产教融合、校企合作，推动教育教学改革与产业转型升级衔接配套。围绕乡村振兴战略、旅游产业发展、专业设置向优势产业支柱产业、特色产业、战略新兴产业和劳动密集型产业倾斜，大力推行现代学徒制、企业新型学徒制等人才培养模式，强化校企“双元”育人。“十四五”末，职业教育和普通教育更加协调，职业教育标准体系更加健全，办学特色更加鲜明，为经济社会发展提供技术技能人才支撑。</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b/>
          <w:bCs/>
          <w:sz w:val="31"/>
          <w:szCs w:val="31"/>
          <w:lang w:val="en-US" w:eastAsia="zh-CN"/>
        </w:rPr>
        <w:t>——促进信息技术与教育教学深度融合。</w:t>
      </w:r>
      <w:r>
        <w:rPr>
          <w:rFonts w:hint="eastAsia" w:ascii="Times New Roman" w:hAnsi="Times New Roman" w:eastAsia="方正仿宋_GBK" w:cs="Times New Roman"/>
          <w:sz w:val="31"/>
          <w:szCs w:val="31"/>
          <w:lang w:val="en-US" w:eastAsia="zh-CN"/>
        </w:rPr>
        <w:t>充分发挥信息技术对教育的革命性影响，实施教育信息化2.0行动，探索“互联网+”条件下的人才培养新模式，着力构建基于信息技术的新型教育教学模式、教育服务供给方式和教育治理新模式。持续推进“三通两平台”建设，改善学校信息化应用环境。“十四五”末，信息化教学实现所有学校宽带网络全覆盖，网络带宽满足师生个性化、智能化学习、教学、教研和专业发展需求，优质教育资源进入班级，全面建成网络学习空间。汇聚援疆省市资源、八一中学教育资源、优秀教师原创资源，提升资源供给服务能力，助力师生信息化教学和学习，全面提高教育教学质量，确保高考上线率逐年提高。</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b/>
          <w:bCs/>
          <w:sz w:val="31"/>
          <w:szCs w:val="31"/>
          <w:lang w:val="en-US" w:eastAsia="zh-CN"/>
        </w:rPr>
        <w:t>——深化管理队伍和教师队伍管理机制体制改革。</w:t>
      </w:r>
      <w:r>
        <w:rPr>
          <w:rFonts w:hint="eastAsia" w:ascii="Times New Roman" w:hAnsi="Times New Roman" w:eastAsia="方正仿宋_GBK" w:cs="Times New Roman"/>
          <w:sz w:val="31"/>
          <w:szCs w:val="31"/>
          <w:lang w:val="en-US" w:eastAsia="zh-CN"/>
        </w:rPr>
        <w:t>组织领导班子积极参加各级各类培训，制定任期责任目标，健全学校考评机制，不断提高管理水平，使他们在管理育人，服务育人，教书育人等方面得到全面提升；推进教师“县管校聘”改革，实施县域内义务教育学校校长教师定期交流轮岗制度，推进区域内校际间教职工编制互补余缺，积极组织教师参加“国培”、“区培”、县培及校本培训， 进一步提升优化两支队伍的专业水平。针对两支队伍，控制总量、盘活存量，采取多种形式加大培训力度，不断优化结构，建立符合实际的考核评价体系。</w:t>
      </w:r>
    </w:p>
    <w:p>
      <w:pPr>
        <w:rPr>
          <w:rFonts w:hint="eastAsia"/>
          <w:lang w:val="en-US" w:eastAsia="zh-CN"/>
        </w:rPr>
      </w:pPr>
    </w:p>
    <w:tbl>
      <w:tblPr>
        <w:tblStyle w:val="15"/>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5"/>
        <w:gridCol w:w="5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60" w:type="dxa"/>
            <w:gridSpan w:val="2"/>
            <w:tcBorders>
              <w:top w:val="thinThickSmallGap" w:color="auto" w:sz="24" w:space="0"/>
              <w:left w:val="thinThickSmallGap" w:color="auto" w:sz="24" w:space="0"/>
              <w:bottom w:val="thinThickSmallGap" w:color="auto" w:sz="24" w:space="0"/>
              <w:right w:val="thinThickSmallGap" w:color="auto" w:sz="24" w:space="0"/>
            </w:tcBorders>
          </w:tcPr>
          <w:p>
            <w:pPr>
              <w:spacing w:after="0" w:line="240" w:lineRule="auto"/>
            </w:pPr>
            <w:r>
              <w:rPr>
                <w:rFonts w:hint="eastAsia" w:ascii="方正黑体_GBK" w:hAnsi="方正黑体_GBK" w:eastAsia="方正黑体_GBK" w:cs="方正黑体_GBK"/>
                <w:lang w:eastAsia="zh-CN"/>
              </w:rPr>
              <w:t>专栏：</w:t>
            </w:r>
            <w:r>
              <w:rPr>
                <w:rFonts w:hint="eastAsia" w:ascii="方正黑体_GBK" w:hAnsi="方正黑体_GBK" w:eastAsia="方正黑体_GBK" w:cs="方正黑体_GBK"/>
                <w:lang w:eastAsia="en-US"/>
              </w:rPr>
              <w:t>项目支撑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065" w:type="dxa"/>
            <w:tcBorders>
              <w:top w:val="thinThickSmallGap" w:color="auto" w:sz="24" w:space="0"/>
              <w:left w:val="thinThickSmallGap" w:color="auto" w:sz="24" w:space="0"/>
              <w:bottom w:val="thinThickSmallGap" w:color="auto" w:sz="24" w:space="0"/>
              <w:right w:val="thinThickSmallGap" w:color="auto" w:sz="24" w:space="0"/>
            </w:tcBorders>
            <w:vAlign w:val="top"/>
          </w:tcPr>
          <w:p>
            <w:pPr>
              <w:spacing w:after="0" w:line="240" w:lineRule="auto"/>
              <w:rPr>
                <w:rFonts w:hint="eastAsia"/>
              </w:rPr>
            </w:pPr>
            <w:r>
              <w:rPr>
                <w:rFonts w:hint="eastAsia"/>
              </w:rPr>
              <w:t>河北生态产业园的小学和幼儿园</w:t>
            </w:r>
          </w:p>
        </w:tc>
        <w:tc>
          <w:tcPr>
            <w:tcW w:w="5595" w:type="dxa"/>
            <w:tcBorders>
              <w:top w:val="thinThickSmallGap" w:color="auto" w:sz="24" w:space="0"/>
              <w:left w:val="thinThickSmallGap" w:color="auto" w:sz="24" w:space="0"/>
              <w:bottom w:val="thinThickSmallGap" w:color="auto" w:sz="24" w:space="0"/>
              <w:right w:val="thinThickSmallGap" w:color="auto" w:sz="24" w:space="0"/>
            </w:tcBorders>
            <w:vAlign w:val="top"/>
          </w:tcPr>
          <w:p>
            <w:pPr>
              <w:spacing w:after="0" w:line="240" w:lineRule="auto"/>
              <w:rPr>
                <w:rFonts w:hint="eastAsia"/>
              </w:rPr>
            </w:pPr>
            <w:r>
              <w:rPr>
                <w:rFonts w:hint="eastAsia"/>
                <w:lang w:eastAsia="zh-CN"/>
              </w:rPr>
              <w:t>新建6个班教学及生活用房，建筑面积1500平方米，新建3300平方米教学及生活用房。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065" w:type="dxa"/>
            <w:tcBorders>
              <w:top w:val="thinThickSmallGap" w:color="auto" w:sz="24" w:space="0"/>
              <w:left w:val="thinThickSmallGap" w:color="auto" w:sz="24" w:space="0"/>
              <w:bottom w:val="thinThickSmallGap" w:color="auto" w:sz="24" w:space="0"/>
              <w:right w:val="thinThickSmallGap" w:color="auto" w:sz="24" w:space="0"/>
            </w:tcBorders>
            <w:vAlign w:val="top"/>
          </w:tcPr>
          <w:p>
            <w:pPr>
              <w:spacing w:after="0" w:line="240" w:lineRule="auto"/>
              <w:rPr>
                <w:rFonts w:hint="eastAsia"/>
              </w:rPr>
            </w:pPr>
            <w:r>
              <w:rPr>
                <w:rFonts w:hint="eastAsia"/>
                <w:lang w:val="en-US" w:eastAsia="zh-CN"/>
              </w:rPr>
              <w:t>新建职业中学宿舍楼和图书实验楼</w:t>
            </w:r>
          </w:p>
        </w:tc>
        <w:tc>
          <w:tcPr>
            <w:tcW w:w="5595" w:type="dxa"/>
            <w:tcBorders>
              <w:top w:val="thinThickSmallGap" w:color="auto" w:sz="24" w:space="0"/>
              <w:left w:val="thinThickSmallGap" w:color="auto" w:sz="24" w:space="0"/>
              <w:bottom w:val="thinThickSmallGap" w:color="auto" w:sz="24" w:space="0"/>
              <w:right w:val="thinThickSmallGap" w:color="auto" w:sz="24" w:space="0"/>
            </w:tcBorders>
            <w:vAlign w:val="top"/>
          </w:tcPr>
          <w:p>
            <w:pPr>
              <w:spacing w:after="0" w:line="240" w:lineRule="auto"/>
              <w:rPr>
                <w:rFonts w:hint="eastAsia"/>
                <w:lang w:eastAsia="zh-CN"/>
              </w:rPr>
            </w:pPr>
            <w:r>
              <w:rPr>
                <w:rFonts w:hint="eastAsia"/>
                <w:lang w:eastAsia="zh-CN"/>
              </w:rPr>
              <w:t>新建6700平方米产教融合图书实验楼及学生宿舍楼，框架结构，附属工程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065" w:type="dxa"/>
            <w:tcBorders>
              <w:top w:val="thinThickSmallGap" w:color="auto" w:sz="24" w:space="0"/>
              <w:left w:val="thinThickSmallGap" w:color="auto" w:sz="24" w:space="0"/>
              <w:bottom w:val="thinThickSmallGap" w:color="auto" w:sz="24" w:space="0"/>
              <w:right w:val="thinThickSmallGap" w:color="auto" w:sz="24" w:space="0"/>
            </w:tcBorders>
            <w:vAlign w:val="top"/>
          </w:tcPr>
          <w:p>
            <w:pPr>
              <w:spacing w:after="0" w:line="240" w:lineRule="auto"/>
              <w:rPr>
                <w:rFonts w:hint="eastAsia"/>
              </w:rPr>
            </w:pPr>
            <w:r>
              <w:rPr>
                <w:rFonts w:hint="eastAsia"/>
                <w:lang w:val="en-US" w:eastAsia="zh-CN"/>
              </w:rPr>
              <w:t>智慧校园建设项目</w:t>
            </w:r>
          </w:p>
        </w:tc>
        <w:tc>
          <w:tcPr>
            <w:tcW w:w="5595" w:type="dxa"/>
            <w:tcBorders>
              <w:top w:val="thinThickSmallGap" w:color="auto" w:sz="24" w:space="0"/>
              <w:left w:val="thinThickSmallGap" w:color="auto" w:sz="24" w:space="0"/>
              <w:bottom w:val="thinThickSmallGap" w:color="auto" w:sz="24" w:space="0"/>
              <w:right w:val="thinThickSmallGap" w:color="auto" w:sz="24" w:space="0"/>
            </w:tcBorders>
            <w:vAlign w:val="top"/>
          </w:tcPr>
          <w:p>
            <w:pPr>
              <w:spacing w:after="0" w:line="240" w:lineRule="auto"/>
              <w:rPr>
                <w:rFonts w:hint="eastAsia"/>
                <w:lang w:eastAsia="zh-CN"/>
              </w:rPr>
            </w:pPr>
            <w:r>
              <w:rPr>
                <w:rFonts w:hint="eastAsia"/>
                <w:lang w:val="en-US" w:eastAsia="zh-CN"/>
              </w:rPr>
              <w:t>农村、县城、义务教育、幼儿园、第一中学、第四中学两所普通高中三通两平台提升，智慧校园平台建设，包括教育教学辅助、标准化考场、集控管理平台及安全防护配建，购置必备的信息化设备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065" w:type="dxa"/>
            <w:tcBorders>
              <w:top w:val="thinThickSmallGap" w:color="auto" w:sz="24" w:space="0"/>
              <w:left w:val="thinThickSmallGap" w:color="auto" w:sz="24" w:space="0"/>
              <w:bottom w:val="thinThickSmallGap" w:color="auto" w:sz="24" w:space="0"/>
              <w:right w:val="thinThickSmallGap" w:color="auto" w:sz="24" w:space="0"/>
            </w:tcBorders>
            <w:vAlign w:val="top"/>
          </w:tcPr>
          <w:p>
            <w:pPr>
              <w:spacing w:after="0" w:line="240" w:lineRule="auto"/>
              <w:rPr>
                <w:rFonts w:hint="eastAsia"/>
              </w:rPr>
            </w:pPr>
            <w:r>
              <w:rPr>
                <w:rFonts w:hint="eastAsia"/>
              </w:rPr>
              <w:t>焉耆县第四中学教学楼、风雨操场、学生宿舍及配套设施</w:t>
            </w:r>
          </w:p>
        </w:tc>
        <w:tc>
          <w:tcPr>
            <w:tcW w:w="5595" w:type="dxa"/>
            <w:tcBorders>
              <w:top w:val="thinThickSmallGap" w:color="auto" w:sz="24" w:space="0"/>
              <w:left w:val="thinThickSmallGap" w:color="auto" w:sz="24" w:space="0"/>
              <w:bottom w:val="thinThickSmallGap" w:color="auto" w:sz="24" w:space="0"/>
              <w:right w:val="thinThickSmallGap" w:color="auto" w:sz="24" w:space="0"/>
            </w:tcBorders>
            <w:vAlign w:val="top"/>
          </w:tcPr>
          <w:p>
            <w:pPr>
              <w:spacing w:after="0" w:line="240" w:lineRule="auto"/>
              <w:rPr>
                <w:rFonts w:hint="eastAsia"/>
                <w:lang w:eastAsia="zh-CN"/>
              </w:rPr>
            </w:pPr>
            <w:r>
              <w:rPr>
                <w:rFonts w:hint="eastAsia"/>
                <w:lang w:eastAsia="zh-CN"/>
              </w:rPr>
              <w:t>高中部教学楼12000平方米、初中部教学楼6000平方米、学生宿舍楼12000平方米、风雨操场4000平方米、室外地坪25000平方米、围墙1000米，总投资约1.3亿元。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065" w:type="dxa"/>
            <w:tcBorders>
              <w:top w:val="thinThickSmallGap" w:color="auto" w:sz="24" w:space="0"/>
              <w:left w:val="thinThickSmallGap" w:color="auto" w:sz="24" w:space="0"/>
              <w:bottom w:val="thinThickSmallGap" w:color="auto" w:sz="24" w:space="0"/>
              <w:right w:val="thinThickSmallGap" w:color="auto" w:sz="24" w:space="0"/>
            </w:tcBorders>
            <w:vAlign w:val="top"/>
          </w:tcPr>
          <w:p>
            <w:pPr>
              <w:spacing w:after="0" w:line="240" w:lineRule="auto"/>
              <w:rPr>
                <w:rFonts w:hint="eastAsia"/>
              </w:rPr>
            </w:pPr>
            <w:r>
              <w:rPr>
                <w:rFonts w:hint="eastAsia"/>
                <w:lang w:eastAsia="zh-CN"/>
              </w:rPr>
              <w:t>焉耆县阿伦渠教学点改扩建第三小学</w:t>
            </w:r>
          </w:p>
        </w:tc>
        <w:tc>
          <w:tcPr>
            <w:tcW w:w="5595" w:type="dxa"/>
            <w:tcBorders>
              <w:top w:val="thinThickSmallGap" w:color="auto" w:sz="24" w:space="0"/>
              <w:left w:val="thinThickSmallGap" w:color="auto" w:sz="24" w:space="0"/>
              <w:bottom w:val="thinThickSmallGap" w:color="auto" w:sz="24" w:space="0"/>
              <w:right w:val="thinThickSmallGap" w:color="auto" w:sz="24" w:space="0"/>
            </w:tcBorders>
            <w:vAlign w:val="top"/>
          </w:tcPr>
          <w:p>
            <w:pPr>
              <w:spacing w:after="0" w:line="240" w:lineRule="auto"/>
              <w:rPr>
                <w:rFonts w:hint="eastAsia"/>
              </w:rPr>
            </w:pPr>
            <w:r>
              <w:rPr>
                <w:rFonts w:hint="eastAsia"/>
                <w:lang w:eastAsia="zh-CN"/>
              </w:rPr>
              <w:t>新建教学楼，建筑面积3340平方米，框架结构，地上四层，附属工程</w:t>
            </w:r>
          </w:p>
        </w:tc>
      </w:tr>
    </w:tbl>
    <w:p>
      <w:pPr>
        <w:rPr>
          <w:rFonts w:hint="default"/>
          <w:lang w:val="en-US" w:eastAsia="zh-CN"/>
        </w:rPr>
      </w:pPr>
      <w:bookmarkStart w:id="370" w:name="_Toc30760"/>
    </w:p>
    <w:p>
      <w:pPr>
        <w:pStyle w:val="7"/>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楷体_GBK" w:hAnsi="方正楷体_GBK" w:eastAsia="方正楷体_GBK" w:cs="方正楷体_GBK"/>
          <w:b w:val="0"/>
          <w:bCs/>
          <w:sz w:val="31"/>
          <w:szCs w:val="31"/>
          <w:lang w:val="en-US" w:eastAsia="zh-CN"/>
        </w:rPr>
      </w:pPr>
      <w:bookmarkStart w:id="371" w:name="_Toc29149"/>
      <w:bookmarkStart w:id="372" w:name="_Toc19479"/>
      <w:bookmarkStart w:id="373" w:name="_Toc25380"/>
      <w:bookmarkStart w:id="374" w:name="_Toc8238"/>
      <w:bookmarkStart w:id="375" w:name="_Toc5502"/>
      <w:r>
        <w:rPr>
          <w:rFonts w:hint="default" w:ascii="方正楷体_GBK" w:hAnsi="方正楷体_GBK" w:eastAsia="方正楷体_GBK" w:cs="方正楷体_GBK"/>
          <w:b w:val="0"/>
          <w:bCs/>
          <w:sz w:val="31"/>
          <w:szCs w:val="31"/>
          <w:lang w:val="en-US" w:eastAsia="zh-CN"/>
        </w:rPr>
        <w:t>第三节  完善社会保障体系</w:t>
      </w:r>
      <w:bookmarkEnd w:id="370"/>
      <w:bookmarkEnd w:id="371"/>
      <w:bookmarkEnd w:id="372"/>
      <w:bookmarkEnd w:id="373"/>
      <w:bookmarkEnd w:id="374"/>
      <w:bookmarkEnd w:id="375"/>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rPr>
        <w:t>深化社会保障制度改革，扩大参保覆盖面，促进灵活就业人员、新就业形态从业人员参保。健全覆盖全民、统筹城乡、公平统一、可持续的多层次社会保障体系。健全社保基金管理风险防控体系和监督机制。发展多层次、多支柱养老保险体系，完善工伤保险制度，健全重大疾病医疗保险和救助制度，落实异地就医结算，积极发展商业医疗保险，加强医疗保险基金监管。</w:t>
      </w:r>
      <w:r>
        <w:rPr>
          <w:rFonts w:hint="eastAsia" w:ascii="Times New Roman" w:hAnsi="Times New Roman" w:eastAsia="方正仿宋_GBK" w:cs="Times New Roman"/>
          <w:sz w:val="31"/>
          <w:szCs w:val="31"/>
          <w:lang w:val="en-US" w:eastAsia="zh-CN"/>
        </w:rPr>
        <w:t>严格落实基本医疗保险州级统筹，加大医保待遇审核结算；进一步完善医疗救助制度，关注困难群体医疗保障，</w:t>
      </w:r>
      <w:r>
        <w:rPr>
          <w:rFonts w:hint="default" w:ascii="Times New Roman" w:hAnsi="Times New Roman" w:eastAsia="方正仿宋_GBK" w:cs="Times New Roman"/>
          <w:sz w:val="31"/>
          <w:szCs w:val="31"/>
        </w:rPr>
        <w:t>完善灵活就业人员社保制度。健全分层分类的社会救助体系。健全退役军人工作体系和保障制度，保护军人军属合法权益。</w:t>
      </w:r>
      <w:r>
        <w:rPr>
          <w:rFonts w:hint="eastAsia" w:ascii="Times New Roman" w:hAnsi="Times New Roman" w:eastAsia="方正仿宋_GBK" w:cs="Times New Roman"/>
          <w:sz w:val="31"/>
          <w:szCs w:val="31"/>
          <w:lang w:eastAsia="zh-CN"/>
        </w:rPr>
        <w:t>“十四五”末，</w:t>
      </w:r>
      <w:r>
        <w:rPr>
          <w:rFonts w:hint="default" w:ascii="Times New Roman" w:hAnsi="Times New Roman" w:eastAsia="方正仿宋_GBK" w:cs="Times New Roman"/>
          <w:sz w:val="31"/>
          <w:szCs w:val="31"/>
          <w:lang w:val="en-US" w:eastAsia="zh-CN"/>
        </w:rPr>
        <w:t>社会保障体系更加完善，制度更加健全，覆盖范围进一步扩大，保障水平稳步提高，服务管理高效便捷，突出遗留历史问题基本解决。</w:t>
      </w:r>
      <w:r>
        <w:rPr>
          <w:rFonts w:hint="eastAsia" w:ascii="Times New Roman" w:hAnsi="Times New Roman" w:eastAsia="方正仿宋_GBK" w:cs="Times New Roman"/>
          <w:sz w:val="31"/>
          <w:szCs w:val="31"/>
          <w:lang w:eastAsia="zh-CN"/>
        </w:rPr>
        <w:t>坚持应保尽保，城乡居民基本医疗保险参保率达</w:t>
      </w:r>
      <w:r>
        <w:rPr>
          <w:rFonts w:hint="eastAsia" w:ascii="Times New Roman" w:hAnsi="Times New Roman" w:eastAsia="方正仿宋_GBK" w:cs="Times New Roman"/>
          <w:sz w:val="31"/>
          <w:szCs w:val="31"/>
          <w:lang w:val="en-US" w:eastAsia="zh-CN"/>
        </w:rPr>
        <w:t>95%以上。</w:t>
      </w:r>
      <w:r>
        <w:rPr>
          <w:rFonts w:hint="default" w:ascii="Times New Roman" w:hAnsi="Times New Roman" w:eastAsia="方正仿宋_GBK" w:cs="Times New Roman"/>
          <w:sz w:val="31"/>
          <w:szCs w:val="31"/>
          <w:lang w:val="en-US" w:eastAsia="zh-CN"/>
        </w:rPr>
        <w:t>城镇职工养老、失业、工伤保险参保人数分别达到95%以上，机关事业单位养老保险保持全覆盖，</w:t>
      </w:r>
      <w:r>
        <w:rPr>
          <w:rFonts w:hint="default" w:ascii="Times New Roman" w:hAnsi="Times New Roman" w:eastAsia="方正仿宋_GBK" w:cs="Times New Roman"/>
          <w:sz w:val="31"/>
          <w:szCs w:val="31"/>
          <w:lang w:eastAsia="zh-CN"/>
        </w:rPr>
        <w:t>城乡居民养老保险参保率达</w:t>
      </w:r>
      <w:r>
        <w:rPr>
          <w:rFonts w:hint="default" w:ascii="Times New Roman" w:hAnsi="Times New Roman" w:eastAsia="方正仿宋_GBK" w:cs="Times New Roman"/>
          <w:sz w:val="31"/>
          <w:szCs w:val="31"/>
          <w:lang w:val="en-US" w:eastAsia="zh-CN"/>
        </w:rPr>
        <w:t>95%以上，养老待遇享受覆盖率达90%以上。</w:t>
      </w:r>
    </w:p>
    <w:p>
      <w:pPr>
        <w:rPr>
          <w:rFonts w:hint="default" w:ascii="Times New Roman" w:hAnsi="Times New Roman" w:eastAsia="方正仿宋_GBK" w:cs="Times New Roman"/>
          <w:sz w:val="31"/>
          <w:szCs w:val="31"/>
        </w:rPr>
      </w:pPr>
    </w:p>
    <w:p>
      <w:pPr>
        <w:pStyle w:val="7"/>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楷体_GBK" w:hAnsi="方正楷体_GBK" w:eastAsia="方正楷体_GBK" w:cs="方正楷体_GBK"/>
          <w:b w:val="0"/>
          <w:bCs/>
          <w:sz w:val="31"/>
          <w:szCs w:val="31"/>
          <w:lang w:val="en-US" w:eastAsia="zh-CN"/>
        </w:rPr>
      </w:pPr>
      <w:bookmarkStart w:id="376" w:name="_Toc9779"/>
      <w:bookmarkStart w:id="377" w:name="_Toc2074"/>
      <w:bookmarkStart w:id="378" w:name="_Toc18441"/>
      <w:bookmarkStart w:id="379" w:name="_Toc25152"/>
      <w:bookmarkStart w:id="380" w:name="_Toc12120"/>
      <w:bookmarkStart w:id="381" w:name="_Toc23929"/>
      <w:r>
        <w:rPr>
          <w:rFonts w:hint="default" w:ascii="方正楷体_GBK" w:hAnsi="方正楷体_GBK" w:eastAsia="方正楷体_GBK" w:cs="方正楷体_GBK"/>
          <w:b w:val="0"/>
          <w:bCs/>
          <w:sz w:val="31"/>
          <w:szCs w:val="31"/>
          <w:lang w:val="en-US" w:eastAsia="zh-CN"/>
        </w:rPr>
        <w:t>第四节  推进健康焉耆建设</w:t>
      </w:r>
      <w:bookmarkEnd w:id="376"/>
      <w:bookmarkEnd w:id="377"/>
      <w:bookmarkEnd w:id="378"/>
      <w:bookmarkEnd w:id="379"/>
      <w:bookmarkEnd w:id="380"/>
      <w:bookmarkEnd w:id="381"/>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lang w:val="en-US" w:eastAsia="zh-CN"/>
        </w:rPr>
      </w:pPr>
      <w:bookmarkStart w:id="382" w:name="_Toc13085"/>
      <w:r>
        <w:rPr>
          <w:rFonts w:hint="default" w:ascii="Times New Roman" w:hAnsi="Times New Roman" w:eastAsia="方正仿宋_GBK" w:cs="Times New Roman"/>
          <w:sz w:val="31"/>
          <w:szCs w:val="31"/>
          <w:lang w:val="en-US" w:eastAsia="zh-CN"/>
        </w:rPr>
        <w:t>织牢公共卫生防护网，加快提升应对重大疫情和公共卫生突发事件能力，全方位全周期保障人民健康，切实防范卫生健康领域重大风险。推进以全科医生为重点的基层医疗卫生人才队伍建设，加强高层次医学人才和公共卫生专业人才梯队建设。建立平战结合的疫情防控、医疗处置、物资保障、监测预警“四位一体”的公共卫生应急管理体系和医防融合服务体系。加强疾病预防控制机构设施建设和能力建设。增强公立医院传染病救治能力。加快推进医养结合工作，构建老年健康服务体系。深入开展爱国卫生运动。实施健康促进行动，强化重点人群和重大疾病综合防控，持续开展全民免费健康体检</w:t>
      </w:r>
      <w:r>
        <w:rPr>
          <w:rFonts w:hint="eastAsia" w:ascii="Times New Roman" w:hAnsi="Times New Roman" w:eastAsia="方正仿宋_GBK" w:cs="Times New Roman"/>
          <w:sz w:val="31"/>
          <w:szCs w:val="31"/>
          <w:lang w:val="en-US" w:eastAsia="zh-CN"/>
        </w:rPr>
        <w:t>，免费健康体检率达100%。</w:t>
      </w:r>
      <w:r>
        <w:rPr>
          <w:rFonts w:hint="default" w:ascii="Times New Roman" w:hAnsi="Times New Roman" w:eastAsia="方正仿宋_GBK" w:cs="Times New Roman"/>
          <w:sz w:val="31"/>
          <w:szCs w:val="31"/>
          <w:lang w:val="en-US" w:eastAsia="zh-CN"/>
        </w:rPr>
        <w:t>加强职业病防治能力建设。加强高层次人才和公共卫生专业人才队伍建设，加强医院院长职业化培训。</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深化医教协同，推进以全科医生为重点的基层医疗卫生队伍建设。继续为农村订单定向免费培养医学生。加强产科、儿科、精神、老年医学、急救、康复等各类紧缺人才培养。加强高层次人才和公共卫生专业人才队伍建设。加强医院院长职业化培训。加强乡村医生队伍建设。实施城乡公共卫生服务标准化建设。以城乡居民公共卫生服务均等化为目标，全面完成疾病预防控制、健康教育、精神卫生、应急救治等专业公共卫生服务网络标准化建设。继续在全县实施结核病、艾滋病、地方病等重大公共卫生项目，提高现行国家免疫规划疫苗接种水平和质量，控制重大传染病发病率。完善突发公共卫生事件应急机制，提高对突发公共卫生事件的预警、指挥和处置能力。落实相关应急预案，做到反应迅速、运转顺畅、处置有力，最大限度地降低危害，保护人民健康安全。对职业病危害高风险企业实施重点监管，开展重点行业领域职业病危害专项治理。强化职业病报告制度，开展用人单位职业健康促进工作，预防和控制工伤事故及职业病发生。“十四五”末</w:t>
      </w:r>
      <w:r>
        <w:rPr>
          <w:rFonts w:hint="default" w:ascii="Times New Roman" w:hAnsi="Times New Roman" w:eastAsia="方正仿宋_GBK" w:cs="Times New Roman"/>
          <w:sz w:val="31"/>
          <w:szCs w:val="31"/>
          <w:lang w:val="en-US" w:eastAsia="zh-CN"/>
        </w:rPr>
        <w:t>，每千人口执业（助理）医师数达到</w:t>
      </w:r>
      <w:r>
        <w:rPr>
          <w:rFonts w:hint="eastAsia" w:ascii="Times New Roman" w:hAnsi="Times New Roman" w:eastAsia="方正仿宋_GBK" w:cs="Times New Roman"/>
          <w:sz w:val="31"/>
          <w:szCs w:val="31"/>
          <w:lang w:val="en-US" w:eastAsia="zh-CN"/>
        </w:rPr>
        <w:t>2.85</w:t>
      </w:r>
      <w:r>
        <w:rPr>
          <w:rFonts w:hint="default" w:ascii="Times New Roman" w:hAnsi="Times New Roman" w:eastAsia="方正仿宋_GBK" w:cs="Times New Roman"/>
          <w:sz w:val="31"/>
          <w:szCs w:val="31"/>
          <w:lang w:val="en-US" w:eastAsia="zh-CN"/>
        </w:rPr>
        <w:t>人以上，每万人口全科医生数达到</w:t>
      </w:r>
      <w:r>
        <w:rPr>
          <w:rFonts w:hint="eastAsia" w:ascii="Times New Roman" w:hAnsi="Times New Roman" w:eastAsia="方正仿宋_GBK" w:cs="Times New Roman"/>
          <w:sz w:val="31"/>
          <w:szCs w:val="31"/>
          <w:lang w:val="en-US" w:eastAsia="zh-CN"/>
        </w:rPr>
        <w:t>4</w:t>
      </w:r>
      <w:r>
        <w:rPr>
          <w:rFonts w:hint="default" w:ascii="Times New Roman" w:hAnsi="Times New Roman" w:eastAsia="方正仿宋_GBK" w:cs="Times New Roman"/>
          <w:sz w:val="31"/>
          <w:szCs w:val="31"/>
          <w:lang w:val="en-US" w:eastAsia="zh-CN"/>
        </w:rPr>
        <w:t>人以上，每千人口注册护士数达到</w:t>
      </w:r>
      <w:r>
        <w:rPr>
          <w:rFonts w:hint="eastAsia" w:ascii="Times New Roman" w:hAnsi="Times New Roman" w:eastAsia="方正仿宋_GBK" w:cs="Times New Roman"/>
          <w:sz w:val="31"/>
          <w:szCs w:val="31"/>
          <w:lang w:val="en-US" w:eastAsia="zh-CN"/>
        </w:rPr>
        <w:t>3.0</w:t>
      </w:r>
      <w:r>
        <w:rPr>
          <w:rFonts w:hint="default" w:ascii="Times New Roman" w:hAnsi="Times New Roman" w:eastAsia="方正仿宋_GBK" w:cs="Times New Roman"/>
          <w:sz w:val="31"/>
          <w:szCs w:val="31"/>
          <w:lang w:val="en-US" w:eastAsia="zh-CN"/>
        </w:rPr>
        <w:t>人以上。每千</w:t>
      </w:r>
      <w:r>
        <w:rPr>
          <w:rFonts w:hint="eastAsia" w:ascii="Times New Roman" w:hAnsi="Times New Roman" w:eastAsia="方正仿宋_GBK" w:cs="Times New Roman"/>
          <w:sz w:val="31"/>
          <w:szCs w:val="31"/>
          <w:lang w:val="en-US" w:eastAsia="zh-CN"/>
        </w:rPr>
        <w:t>常住</w:t>
      </w:r>
      <w:r>
        <w:rPr>
          <w:rFonts w:hint="default" w:ascii="Times New Roman" w:hAnsi="Times New Roman" w:eastAsia="方正仿宋_GBK" w:cs="Times New Roman"/>
          <w:sz w:val="31"/>
          <w:szCs w:val="31"/>
          <w:lang w:val="en-US" w:eastAsia="zh-CN"/>
        </w:rPr>
        <w:t>人口</w:t>
      </w:r>
      <w:r>
        <w:rPr>
          <w:rFonts w:hint="eastAsia" w:ascii="Times New Roman" w:hAnsi="Times New Roman" w:eastAsia="方正仿宋_GBK" w:cs="Times New Roman"/>
          <w:sz w:val="31"/>
          <w:szCs w:val="31"/>
          <w:lang w:val="en-US" w:eastAsia="zh-CN"/>
        </w:rPr>
        <w:t>公共卫生人员0.28人。基本实现高血压、糖尿病患者管理干预全覆盖。职业病分级分类监管机制形成。建立专业公共卫生机构、综合和专科医院、基层医疗卫生机构“三位一体”的重大疾病防控机制，建立信息共享、互联互通机制，推进慢性病防、治、管整体融合发展，实现医防结合。持续推进城乡环境卫生整洁行动，完善城乡环境卫生基础设施和长效机制，统筹治理城乡环境卫生问题。加大农村人居环境治理力度，全面加强农村垃圾治理，实施农村生活污水治理工程，大力推广清洁能源。</w:t>
      </w:r>
    </w:p>
    <w:p>
      <w:pPr>
        <w:rPr>
          <w:rFonts w:hint="eastAsia"/>
          <w:lang w:val="en-US" w:eastAsia="zh-CN"/>
        </w:rPr>
      </w:pPr>
    </w:p>
    <w:tbl>
      <w:tblPr>
        <w:tblStyle w:val="15"/>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gridCol w:w="5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508" w:type="dxa"/>
            <w:gridSpan w:val="2"/>
            <w:tcBorders>
              <w:top w:val="thinThickSmallGap" w:color="auto" w:sz="24" w:space="0"/>
              <w:left w:val="thinThickSmallGap" w:color="auto" w:sz="24" w:space="0"/>
              <w:bottom w:val="thinThickSmallGap" w:color="auto" w:sz="24" w:space="0"/>
              <w:right w:val="thinThickSmallGap" w:color="auto" w:sz="24" w:space="0"/>
            </w:tcBorders>
            <w:vAlign w:val="top"/>
          </w:tcPr>
          <w:p>
            <w:pPr>
              <w:spacing w:after="0" w:line="240" w:lineRule="auto"/>
              <w:rPr>
                <w:rFonts w:hint="eastAsia"/>
                <w:lang w:val="en-US" w:eastAsia="en-US"/>
              </w:rPr>
            </w:pPr>
            <w:r>
              <w:rPr>
                <w:rFonts w:hint="eastAsia" w:ascii="方正黑体_GBK" w:hAnsi="方正黑体_GBK" w:eastAsia="方正黑体_GBK" w:cs="方正黑体_GBK"/>
                <w:lang w:val="en-US" w:eastAsia="zh-CN"/>
              </w:rPr>
              <w:t>专栏：</w:t>
            </w:r>
            <w:r>
              <w:rPr>
                <w:rFonts w:hint="eastAsia" w:ascii="方正黑体_GBK" w:hAnsi="方正黑体_GBK" w:eastAsia="方正黑体_GBK" w:cs="方正黑体_GBK"/>
                <w:lang w:val="en-US" w:eastAsia="en-US"/>
              </w:rPr>
              <w:t>项目支撑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140" w:type="dxa"/>
            <w:tcBorders>
              <w:top w:val="thinThickSmallGap" w:color="auto" w:sz="24" w:space="0"/>
              <w:left w:val="thinThickSmallGap" w:color="auto" w:sz="24" w:space="0"/>
              <w:bottom w:val="thinThickSmallGap" w:color="auto" w:sz="24" w:space="0"/>
              <w:right w:val="thinThickSmallGap" w:color="auto" w:sz="24" w:space="0"/>
            </w:tcBorders>
            <w:vAlign w:val="top"/>
          </w:tcPr>
          <w:p>
            <w:pPr>
              <w:spacing w:after="0" w:line="240" w:lineRule="auto"/>
              <w:rPr>
                <w:rFonts w:hint="eastAsia"/>
                <w:lang w:val="en-US" w:eastAsia="en-US"/>
              </w:rPr>
            </w:pPr>
            <w:r>
              <w:rPr>
                <w:rFonts w:hint="eastAsia"/>
                <w:lang w:eastAsia="zh-CN"/>
              </w:rPr>
              <w:t>焉耆县疾控中心标准化建设项目</w:t>
            </w:r>
          </w:p>
        </w:tc>
        <w:tc>
          <w:tcPr>
            <w:tcW w:w="5368" w:type="dxa"/>
            <w:tcBorders>
              <w:top w:val="thinThickSmallGap" w:color="auto" w:sz="24" w:space="0"/>
              <w:left w:val="thinThickSmallGap" w:color="auto" w:sz="24" w:space="0"/>
              <w:bottom w:val="thinThickSmallGap" w:color="auto" w:sz="24" w:space="0"/>
              <w:right w:val="thinThickSmallGap" w:color="auto" w:sz="24" w:space="0"/>
            </w:tcBorders>
            <w:vAlign w:val="top"/>
          </w:tcPr>
          <w:p>
            <w:pPr>
              <w:spacing w:after="0" w:line="240" w:lineRule="auto"/>
              <w:rPr>
                <w:rFonts w:hint="eastAsia"/>
                <w:lang w:eastAsia="zh-CN"/>
              </w:rPr>
            </w:pPr>
            <w:r>
              <w:rPr>
                <w:rFonts w:hint="eastAsia"/>
                <w:lang w:eastAsia="zh-CN"/>
              </w:rPr>
              <w:t>新建</w:t>
            </w:r>
            <w:r>
              <w:rPr>
                <w:rFonts w:hint="eastAsia"/>
                <w:lang w:val="en-US" w:eastAsia="zh-CN"/>
              </w:rPr>
              <w:t>2450</w:t>
            </w:r>
            <w:r>
              <w:rPr>
                <w:rFonts w:hint="eastAsia"/>
                <w:lang w:eastAsia="zh-CN"/>
              </w:rPr>
              <w:t>平方米实验室综合楼实验室相关设备购置1000万元。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140" w:type="dxa"/>
            <w:tcBorders>
              <w:top w:val="thinThickSmallGap" w:color="auto" w:sz="24" w:space="0"/>
              <w:left w:val="thinThickSmallGap" w:color="auto" w:sz="24" w:space="0"/>
              <w:bottom w:val="thinThickSmallGap" w:color="auto" w:sz="24" w:space="0"/>
              <w:right w:val="thinThickSmallGap" w:color="auto" w:sz="24" w:space="0"/>
            </w:tcBorders>
            <w:vAlign w:val="top"/>
          </w:tcPr>
          <w:p>
            <w:pPr>
              <w:spacing w:after="0" w:line="240" w:lineRule="auto"/>
              <w:rPr>
                <w:rFonts w:hint="eastAsia"/>
                <w:lang w:val="en-US" w:eastAsia="en-US"/>
              </w:rPr>
            </w:pPr>
            <w:r>
              <w:rPr>
                <w:rFonts w:hint="eastAsia"/>
                <w:lang w:eastAsia="zh-CN"/>
              </w:rPr>
              <w:t>焉耆县人民医院全科医师规范化培训中心建设项目</w:t>
            </w:r>
          </w:p>
        </w:tc>
        <w:tc>
          <w:tcPr>
            <w:tcW w:w="5368" w:type="dxa"/>
            <w:tcBorders>
              <w:top w:val="thinThickSmallGap" w:color="auto" w:sz="24" w:space="0"/>
              <w:left w:val="thinThickSmallGap" w:color="auto" w:sz="24" w:space="0"/>
              <w:bottom w:val="thinThickSmallGap" w:color="auto" w:sz="24" w:space="0"/>
              <w:right w:val="thinThickSmallGap" w:color="auto" w:sz="24" w:space="0"/>
            </w:tcBorders>
            <w:vAlign w:val="top"/>
          </w:tcPr>
          <w:p>
            <w:pPr>
              <w:spacing w:after="0" w:line="240" w:lineRule="auto"/>
              <w:rPr>
                <w:rFonts w:hint="eastAsia"/>
                <w:lang w:eastAsia="zh-CN"/>
              </w:rPr>
            </w:pPr>
            <w:r>
              <w:rPr>
                <w:rFonts w:hint="eastAsia"/>
                <w:lang w:eastAsia="zh-CN"/>
              </w:rPr>
              <w:t>新建全科医师规范化培训基地，培训中心新建5000平方米及相关附属设施工程。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140" w:type="dxa"/>
            <w:tcBorders>
              <w:top w:val="thinThickSmallGap" w:color="auto" w:sz="24" w:space="0"/>
              <w:left w:val="thinThickSmallGap" w:color="auto" w:sz="24" w:space="0"/>
              <w:bottom w:val="thinThickSmallGap" w:color="auto" w:sz="24" w:space="0"/>
              <w:right w:val="thinThickSmallGap" w:color="auto" w:sz="24" w:space="0"/>
            </w:tcBorders>
            <w:vAlign w:val="top"/>
          </w:tcPr>
          <w:p>
            <w:pPr>
              <w:spacing w:after="0" w:line="240" w:lineRule="auto"/>
              <w:rPr>
                <w:rFonts w:hint="eastAsia"/>
                <w:lang w:val="en-US" w:eastAsia="en-US"/>
              </w:rPr>
            </w:pPr>
            <w:r>
              <w:rPr>
                <w:rFonts w:hint="eastAsia"/>
                <w:lang w:eastAsia="zh-CN"/>
              </w:rPr>
              <w:t>焉耆县疾控中心疫苗冷链库及应急储备用房建设项目</w:t>
            </w:r>
          </w:p>
        </w:tc>
        <w:tc>
          <w:tcPr>
            <w:tcW w:w="5368" w:type="dxa"/>
            <w:tcBorders>
              <w:top w:val="thinThickSmallGap" w:color="auto" w:sz="24" w:space="0"/>
              <w:left w:val="thinThickSmallGap" w:color="auto" w:sz="24" w:space="0"/>
              <w:bottom w:val="thinThickSmallGap" w:color="auto" w:sz="24" w:space="0"/>
              <w:right w:val="thinThickSmallGap" w:color="auto" w:sz="24" w:space="0"/>
            </w:tcBorders>
            <w:vAlign w:val="top"/>
          </w:tcPr>
          <w:p>
            <w:pPr>
              <w:spacing w:after="0" w:line="240" w:lineRule="auto"/>
              <w:rPr>
                <w:rFonts w:hint="eastAsia"/>
                <w:lang w:eastAsia="zh-CN"/>
              </w:rPr>
            </w:pPr>
            <w:r>
              <w:rPr>
                <w:rFonts w:hint="eastAsia"/>
                <w:lang w:eastAsia="zh-CN"/>
              </w:rPr>
              <w:t>新建疾控中心疫苗冷链、冷藏及物资储备库房3000平方米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140" w:type="dxa"/>
            <w:tcBorders>
              <w:top w:val="thinThickSmallGap" w:color="auto" w:sz="24" w:space="0"/>
              <w:left w:val="thinThickSmallGap" w:color="auto" w:sz="24" w:space="0"/>
              <w:bottom w:val="thinThickSmallGap" w:color="auto" w:sz="24" w:space="0"/>
              <w:right w:val="thinThickSmallGap" w:color="auto" w:sz="24" w:space="0"/>
            </w:tcBorders>
            <w:vAlign w:val="top"/>
          </w:tcPr>
          <w:p>
            <w:pPr>
              <w:spacing w:after="0" w:line="240" w:lineRule="auto"/>
              <w:rPr>
                <w:rFonts w:hint="eastAsia"/>
                <w:lang w:val="en-US" w:eastAsia="en-US"/>
              </w:rPr>
            </w:pPr>
            <w:r>
              <w:rPr>
                <w:rFonts w:hint="eastAsia"/>
                <w:lang w:eastAsia="zh-CN"/>
              </w:rPr>
              <w:t>焉耆县人民医院健康管理服务中心建设项目</w:t>
            </w:r>
          </w:p>
        </w:tc>
        <w:tc>
          <w:tcPr>
            <w:tcW w:w="5368" w:type="dxa"/>
            <w:tcBorders>
              <w:top w:val="thinThickSmallGap" w:color="auto" w:sz="24" w:space="0"/>
              <w:left w:val="thinThickSmallGap" w:color="auto" w:sz="24" w:space="0"/>
              <w:bottom w:val="thinThickSmallGap" w:color="auto" w:sz="24" w:space="0"/>
              <w:right w:val="thinThickSmallGap" w:color="auto" w:sz="24" w:space="0"/>
            </w:tcBorders>
            <w:vAlign w:val="top"/>
          </w:tcPr>
          <w:p>
            <w:pPr>
              <w:spacing w:after="0" w:line="240" w:lineRule="auto"/>
              <w:rPr>
                <w:rFonts w:hint="eastAsia"/>
                <w:lang w:eastAsia="zh-CN"/>
              </w:rPr>
            </w:pPr>
            <w:r>
              <w:rPr>
                <w:rFonts w:hint="eastAsia"/>
                <w:lang w:eastAsia="zh-CN"/>
              </w:rPr>
              <w:t>新建5000㎡综合楼及附属工程、医疗设备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140" w:type="dxa"/>
            <w:tcBorders>
              <w:top w:val="thinThickSmallGap" w:color="auto" w:sz="24" w:space="0"/>
              <w:left w:val="thinThickSmallGap" w:color="auto" w:sz="24" w:space="0"/>
              <w:bottom w:val="thinThickSmallGap" w:color="auto" w:sz="24" w:space="0"/>
              <w:right w:val="thinThickSmallGap" w:color="auto" w:sz="24" w:space="0"/>
            </w:tcBorders>
            <w:vAlign w:val="top"/>
          </w:tcPr>
          <w:p>
            <w:pPr>
              <w:spacing w:after="0" w:line="240" w:lineRule="auto"/>
              <w:rPr>
                <w:rFonts w:hint="eastAsia"/>
                <w:lang w:val="en-US" w:eastAsia="en-US"/>
              </w:rPr>
            </w:pPr>
            <w:r>
              <w:rPr>
                <w:rFonts w:hint="eastAsia"/>
                <w:lang w:eastAsia="zh-CN"/>
              </w:rPr>
              <w:t>焉耆县疾控中心健康教育培训中心建设项目</w:t>
            </w:r>
          </w:p>
        </w:tc>
        <w:tc>
          <w:tcPr>
            <w:tcW w:w="5368" w:type="dxa"/>
            <w:tcBorders>
              <w:top w:val="thinThickSmallGap" w:color="auto" w:sz="24" w:space="0"/>
              <w:left w:val="thinThickSmallGap" w:color="auto" w:sz="24" w:space="0"/>
              <w:bottom w:val="thinThickSmallGap" w:color="auto" w:sz="24" w:space="0"/>
              <w:right w:val="thinThickSmallGap" w:color="auto" w:sz="24" w:space="0"/>
            </w:tcBorders>
            <w:vAlign w:val="top"/>
          </w:tcPr>
          <w:p>
            <w:pPr>
              <w:spacing w:after="0" w:line="240" w:lineRule="auto"/>
              <w:rPr>
                <w:rFonts w:hint="eastAsia"/>
                <w:lang w:eastAsia="zh-CN"/>
              </w:rPr>
            </w:pPr>
            <w:r>
              <w:rPr>
                <w:rFonts w:hint="eastAsia"/>
                <w:lang w:eastAsia="zh-CN"/>
              </w:rPr>
              <w:t>新建疾控中心健康教育培训中心综合楼3000平方米</w:t>
            </w:r>
          </w:p>
        </w:tc>
      </w:tr>
    </w:tbl>
    <w:p>
      <w:pPr>
        <w:rPr>
          <w:rFonts w:hint="default"/>
          <w:lang w:val="en-US" w:eastAsia="zh-CN"/>
        </w:rPr>
      </w:pPr>
      <w:bookmarkStart w:id="383" w:name="_Toc18078"/>
      <w:bookmarkStart w:id="384" w:name="_Toc9255"/>
      <w:bookmarkStart w:id="385" w:name="_Toc13076"/>
    </w:p>
    <w:p>
      <w:pPr>
        <w:pStyle w:val="7"/>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楷体_GBK" w:hAnsi="方正楷体_GBK" w:eastAsia="方正楷体_GBK" w:cs="方正楷体_GBK"/>
          <w:b w:val="0"/>
          <w:bCs/>
          <w:sz w:val="31"/>
          <w:szCs w:val="31"/>
          <w:lang w:val="en-US" w:eastAsia="zh-CN"/>
        </w:rPr>
      </w:pPr>
      <w:bookmarkStart w:id="386" w:name="_Toc30742"/>
      <w:bookmarkStart w:id="387" w:name="_Toc5294"/>
      <w:r>
        <w:rPr>
          <w:rFonts w:hint="default" w:ascii="方正楷体_GBK" w:hAnsi="方正楷体_GBK" w:eastAsia="方正楷体_GBK" w:cs="方正楷体_GBK"/>
          <w:b w:val="0"/>
          <w:bCs/>
          <w:sz w:val="31"/>
          <w:szCs w:val="31"/>
          <w:lang w:val="en-US" w:eastAsia="zh-CN"/>
        </w:rPr>
        <w:t>第五节  繁荣公共文化事业</w:t>
      </w:r>
      <w:bookmarkEnd w:id="382"/>
      <w:bookmarkEnd w:id="383"/>
      <w:bookmarkEnd w:id="384"/>
      <w:bookmarkEnd w:id="385"/>
      <w:bookmarkEnd w:id="386"/>
      <w:bookmarkEnd w:id="387"/>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坚持以社会主义核心价值观引领文化建设，围绕举旗帜、聚民心、育新人、兴文化、展形象的使命任务，在弘扬优秀传统文化上创造新经验，建设多彩焉耆特色文化强县。</w:t>
      </w:r>
      <w:bookmarkStart w:id="388" w:name="_Toc21082"/>
      <w:bookmarkStart w:id="389" w:name="_Toc10124"/>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方正仿宋_GBK" w:cs="Times New Roman"/>
          <w:sz w:val="31"/>
          <w:szCs w:val="31"/>
        </w:rPr>
      </w:pPr>
      <w:r>
        <w:rPr>
          <w:rFonts w:hint="eastAsia" w:ascii="Times New Roman" w:hAnsi="Times New Roman" w:eastAsia="方正仿宋_GBK" w:cs="Times New Roman"/>
          <w:b/>
          <w:bCs/>
          <w:sz w:val="31"/>
          <w:szCs w:val="31"/>
          <w:lang w:eastAsia="zh-CN"/>
        </w:rPr>
        <w:t>——</w:t>
      </w:r>
      <w:r>
        <w:rPr>
          <w:rFonts w:hint="eastAsia" w:ascii="Times New Roman" w:hAnsi="Times New Roman" w:eastAsia="方正仿宋_GBK" w:cs="Times New Roman"/>
          <w:b/>
          <w:bCs/>
          <w:sz w:val="31"/>
          <w:szCs w:val="31"/>
        </w:rPr>
        <w:t>大力实施文化润疆工程。</w:t>
      </w:r>
      <w:r>
        <w:rPr>
          <w:rFonts w:hint="eastAsia" w:ascii="Times New Roman" w:hAnsi="Times New Roman" w:eastAsia="方正仿宋_GBK" w:cs="Times New Roman"/>
          <w:sz w:val="31"/>
          <w:szCs w:val="31"/>
        </w:rPr>
        <w:t>“十四五”期间，积极争取新建公共文化馆、公共图书馆项目建设。继续推进三馆免费开放工作，不断满足广大农牧民群众精神文化生活。力争</w:t>
      </w:r>
      <w:r>
        <w:rPr>
          <w:rFonts w:hint="eastAsia" w:ascii="Times New Roman" w:hAnsi="Times New Roman" w:eastAsia="方正仿宋_GBK" w:cs="Times New Roman"/>
          <w:sz w:val="31"/>
          <w:szCs w:val="31"/>
          <w:lang w:eastAsia="zh-CN"/>
        </w:rPr>
        <w:t>“十四五”期间</w:t>
      </w:r>
      <w:r>
        <w:rPr>
          <w:rFonts w:hint="eastAsia" w:ascii="Times New Roman" w:hAnsi="Times New Roman" w:eastAsia="方正仿宋_GBK" w:cs="Times New Roman"/>
          <w:sz w:val="31"/>
          <w:szCs w:val="31"/>
        </w:rPr>
        <w:t>完成国家一级文化馆创建、图书馆国家一级馆复验和文化馆、图书馆总分馆制工作。加快推进“三馆”数字化建设步伐，逐步实现智慧型文化馆、图书馆、博物馆工程。积极申报县级美术馆，完成七个星石窟</w:t>
      </w:r>
      <w:r>
        <w:rPr>
          <w:rFonts w:hint="eastAsia" w:ascii="Times New Roman" w:hAnsi="Times New Roman" w:eastAsia="方正仿宋_GBK" w:cs="Times New Roman"/>
          <w:sz w:val="31"/>
          <w:szCs w:val="31"/>
          <w:lang w:eastAsia="zh-CN"/>
        </w:rPr>
        <w:t>寺</w:t>
      </w:r>
      <w:r>
        <w:rPr>
          <w:rFonts w:hint="eastAsia" w:ascii="Times New Roman" w:hAnsi="Times New Roman" w:eastAsia="方正仿宋_GBK" w:cs="Times New Roman"/>
          <w:sz w:val="31"/>
          <w:szCs w:val="31"/>
        </w:rPr>
        <w:t>保护利用设施建设项目并对社会开放。积极争取</w:t>
      </w:r>
      <w:r>
        <w:rPr>
          <w:rFonts w:hint="eastAsia" w:ascii="Times New Roman" w:hAnsi="Times New Roman" w:eastAsia="方正仿宋_GBK" w:cs="Times New Roman"/>
          <w:sz w:val="31"/>
          <w:szCs w:val="31"/>
          <w:lang w:val="en-US" w:eastAsia="zh-CN"/>
        </w:rPr>
        <w:t>文物保护</w:t>
      </w:r>
      <w:r>
        <w:rPr>
          <w:rFonts w:hint="eastAsia" w:ascii="Times New Roman" w:hAnsi="Times New Roman" w:eastAsia="方正仿宋_GBK" w:cs="Times New Roman"/>
          <w:sz w:val="31"/>
          <w:szCs w:val="31"/>
        </w:rPr>
        <w:t>专项资金</w:t>
      </w: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不断</w:t>
      </w:r>
      <w:r>
        <w:rPr>
          <w:rFonts w:hint="eastAsia" w:ascii="Times New Roman" w:hAnsi="Times New Roman" w:eastAsia="方正仿宋_GBK" w:cs="Times New Roman"/>
          <w:sz w:val="31"/>
          <w:szCs w:val="31"/>
        </w:rPr>
        <w:t>完善</w:t>
      </w:r>
      <w:r>
        <w:rPr>
          <w:rFonts w:hint="eastAsia" w:ascii="Times New Roman" w:hAnsi="Times New Roman" w:eastAsia="方正仿宋_GBK" w:cs="Times New Roman"/>
          <w:sz w:val="31"/>
          <w:szCs w:val="31"/>
          <w:lang w:val="en-US" w:eastAsia="zh-CN"/>
        </w:rPr>
        <w:t>七个星</w:t>
      </w:r>
      <w:r>
        <w:rPr>
          <w:rFonts w:hint="eastAsia" w:ascii="Times New Roman" w:hAnsi="Times New Roman" w:eastAsia="方正仿宋_GBK" w:cs="Times New Roman"/>
          <w:sz w:val="31"/>
          <w:szCs w:val="31"/>
        </w:rPr>
        <w:t>佛寺</w:t>
      </w:r>
      <w:r>
        <w:rPr>
          <w:rFonts w:hint="eastAsia" w:ascii="Times New Roman" w:hAnsi="Times New Roman" w:eastAsia="方正仿宋_GBK" w:cs="Times New Roman"/>
          <w:sz w:val="31"/>
          <w:szCs w:val="31"/>
          <w:lang w:val="en-US" w:eastAsia="zh-CN"/>
        </w:rPr>
        <w:t>遗址</w:t>
      </w:r>
      <w:r>
        <w:rPr>
          <w:rFonts w:hint="eastAsia" w:ascii="Times New Roman" w:hAnsi="Times New Roman" w:eastAsia="方正仿宋_GBK" w:cs="Times New Roman"/>
          <w:sz w:val="31"/>
          <w:szCs w:val="31"/>
        </w:rPr>
        <w:t>各项设施，提升</w:t>
      </w:r>
      <w:r>
        <w:rPr>
          <w:rFonts w:hint="eastAsia" w:ascii="Times New Roman" w:hAnsi="Times New Roman" w:eastAsia="方正仿宋_GBK" w:cs="Times New Roman"/>
          <w:sz w:val="31"/>
          <w:szCs w:val="31"/>
          <w:lang w:val="en-US" w:eastAsia="zh-CN"/>
        </w:rPr>
        <w:t>七个星佛寺景区</w:t>
      </w:r>
      <w:r>
        <w:rPr>
          <w:rFonts w:hint="eastAsia" w:ascii="Times New Roman" w:hAnsi="Times New Roman" w:eastAsia="方正仿宋_GBK" w:cs="Times New Roman"/>
          <w:sz w:val="31"/>
          <w:szCs w:val="31"/>
        </w:rPr>
        <w:t>品位，做好文旅结合，以文兴旅，打造焉耆县文化旅游精品景区</w:t>
      </w: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rPr>
        <w:t>极大提高焉耆知名度和美誉度。</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方正仿宋_GBK" w:cs="Times New Roman"/>
          <w:sz w:val="31"/>
          <w:szCs w:val="31"/>
        </w:rPr>
      </w:pPr>
      <w:r>
        <w:rPr>
          <w:rFonts w:hint="eastAsia" w:ascii="Times New Roman" w:hAnsi="Times New Roman" w:eastAsia="方正仿宋_GBK" w:cs="Times New Roman"/>
          <w:b/>
          <w:bCs/>
          <w:sz w:val="31"/>
          <w:szCs w:val="31"/>
          <w:lang w:eastAsia="zh-CN"/>
        </w:rPr>
        <w:t>——</w:t>
      </w:r>
      <w:r>
        <w:rPr>
          <w:rFonts w:hint="eastAsia" w:ascii="Times New Roman" w:hAnsi="Times New Roman" w:eastAsia="方正仿宋_GBK" w:cs="Times New Roman"/>
          <w:b/>
          <w:bCs/>
          <w:sz w:val="31"/>
          <w:szCs w:val="31"/>
        </w:rPr>
        <w:t>不断加大文化惠民工程。</w:t>
      </w:r>
      <w:r>
        <w:rPr>
          <w:rFonts w:hint="eastAsia" w:ascii="Times New Roman" w:hAnsi="Times New Roman" w:eastAsia="方正仿宋_GBK" w:cs="Times New Roman"/>
          <w:sz w:val="31"/>
          <w:szCs w:val="31"/>
        </w:rPr>
        <w:t>盘活整合乡镇村（社区）文化站（室）、农家书屋、东风工程等文化资源，完善农村公共文化基础设施，配备村文化室管理员，满足村民多样化需求。加强乡村文化服务数字化、微信公众号及乡村文化专题APP建设，采用“互联网+”，增强基本公共文化供给的倍加效应。</w:t>
      </w:r>
    </w:p>
    <w:p>
      <w:pPr>
        <w:keepNext w:val="0"/>
        <w:keepLines w:val="0"/>
        <w:pageBreakBefore w:val="0"/>
        <w:widowControl w:val="0"/>
        <w:kinsoku/>
        <w:wordWrap/>
        <w:overflowPunct/>
        <w:topLinePunct w:val="0"/>
        <w:autoSpaceDE/>
        <w:autoSpaceDN/>
        <w:bidi w:val="0"/>
        <w:adjustRightInd/>
        <w:snapToGrid/>
        <w:spacing w:line="540" w:lineRule="exact"/>
        <w:ind w:firstLine="622" w:firstLineChars="200"/>
        <w:textAlignment w:val="auto"/>
        <w:rPr>
          <w:rFonts w:hint="eastAsia" w:ascii="Times New Roman" w:hAnsi="Times New Roman" w:eastAsia="方正仿宋_GBK" w:cs="Times New Roman"/>
          <w:sz w:val="31"/>
          <w:szCs w:val="31"/>
        </w:rPr>
      </w:pPr>
      <w:r>
        <w:rPr>
          <w:rFonts w:hint="eastAsia" w:ascii="Times New Roman" w:hAnsi="Times New Roman" w:eastAsia="方正仿宋_GBK" w:cs="Times New Roman"/>
          <w:b/>
          <w:bCs/>
          <w:sz w:val="31"/>
          <w:szCs w:val="31"/>
          <w:lang w:eastAsia="zh-CN"/>
        </w:rPr>
        <w:t>——</w:t>
      </w:r>
      <w:r>
        <w:rPr>
          <w:rFonts w:hint="eastAsia" w:ascii="Times New Roman" w:hAnsi="Times New Roman" w:eastAsia="方正仿宋_GBK" w:cs="Times New Roman"/>
          <w:b/>
          <w:bCs/>
          <w:sz w:val="31"/>
          <w:szCs w:val="31"/>
        </w:rPr>
        <w:t>传承和发扬中华优秀传统文化发展工程。</w:t>
      </w:r>
      <w:r>
        <w:rPr>
          <w:rFonts w:hint="eastAsia" w:ascii="Times New Roman" w:hAnsi="Times New Roman" w:eastAsia="方正仿宋_GBK" w:cs="Times New Roman"/>
          <w:sz w:val="31"/>
          <w:szCs w:val="31"/>
        </w:rPr>
        <w:t>加强群众文化活动基层阵地建设，组建县乡村文化志愿者演艺队伍，继续办好“百姓春节联欢晚会”“乡村百日文体活动”“百姓好声音”“花儿艺术节”</w:t>
      </w:r>
      <w:r>
        <w:rPr>
          <w:rFonts w:hint="eastAsia" w:ascii="Times New Roman" w:hAnsi="Times New Roman" w:eastAsia="方正仿宋_GBK" w:cs="Times New Roman"/>
          <w:sz w:val="31"/>
          <w:szCs w:val="31"/>
          <w:lang w:eastAsia="zh-CN"/>
        </w:rPr>
        <w:t>和</w:t>
      </w:r>
      <w:r>
        <w:rPr>
          <w:rFonts w:hint="eastAsia" w:ascii="Times New Roman" w:hAnsi="Times New Roman" w:eastAsia="方正仿宋_GBK" w:cs="Times New Roman"/>
          <w:sz w:val="31"/>
          <w:szCs w:val="31"/>
        </w:rPr>
        <w:t>“春季大培训”等文化品牌活动，积极建设“花儿传承演艺中心”，创编《情满开都河》花儿精品剧目，突出花儿特色，争创文艺精品，进一步扩大焉耆知名度，增加影响力。引导组织农民群众自办文化，不断丰富群众文化生活。不断创新“校园文化”“企业文化”“社区文化”“广场文化”“家庭文化”“假日文化”和其他主题文化活动形式。积极推进小城镇文化建设，把“全国花儿之乡”文化品牌发展</w:t>
      </w:r>
      <w:r>
        <w:rPr>
          <w:rFonts w:hint="eastAsia" w:ascii="Times New Roman" w:hAnsi="Times New Roman" w:eastAsia="方正仿宋_GBK" w:cs="Times New Roman"/>
          <w:sz w:val="31"/>
          <w:szCs w:val="31"/>
          <w:lang w:eastAsia="zh-CN"/>
        </w:rPr>
        <w:t>壮大</w:t>
      </w:r>
      <w:r>
        <w:rPr>
          <w:rFonts w:hint="eastAsia" w:ascii="Times New Roman" w:hAnsi="Times New Roman" w:eastAsia="方正仿宋_GBK" w:cs="Times New Roman"/>
          <w:sz w:val="31"/>
          <w:szCs w:val="31"/>
        </w:rPr>
        <w:t>。</w:t>
      </w:r>
    </w:p>
    <w:p>
      <w:pPr>
        <w:keepNext w:val="0"/>
        <w:keepLines w:val="0"/>
        <w:pageBreakBefore w:val="0"/>
        <w:widowControl w:val="0"/>
        <w:kinsoku/>
        <w:wordWrap/>
        <w:overflowPunct/>
        <w:topLinePunct w:val="0"/>
        <w:autoSpaceDE/>
        <w:autoSpaceDN/>
        <w:bidi w:val="0"/>
        <w:adjustRightInd/>
        <w:snapToGrid/>
        <w:spacing w:line="540" w:lineRule="exact"/>
        <w:ind w:firstLine="622" w:firstLineChars="200"/>
        <w:textAlignment w:val="auto"/>
        <w:rPr>
          <w:rFonts w:hint="eastAsia" w:ascii="Times New Roman" w:hAnsi="Times New Roman" w:eastAsia="方正仿宋_GBK" w:cs="Times New Roman"/>
          <w:sz w:val="31"/>
          <w:szCs w:val="31"/>
        </w:rPr>
      </w:pPr>
      <w:r>
        <w:rPr>
          <w:rFonts w:hint="eastAsia" w:ascii="Times New Roman" w:hAnsi="Times New Roman" w:eastAsia="方正仿宋_GBK" w:cs="Times New Roman"/>
          <w:b/>
          <w:bCs/>
          <w:sz w:val="31"/>
          <w:szCs w:val="31"/>
          <w:lang w:eastAsia="zh-CN"/>
        </w:rPr>
        <w:t>——</w:t>
      </w:r>
      <w:r>
        <w:rPr>
          <w:rFonts w:hint="eastAsia" w:ascii="Times New Roman" w:hAnsi="Times New Roman" w:eastAsia="方正仿宋_GBK" w:cs="Times New Roman"/>
          <w:b/>
          <w:bCs/>
          <w:sz w:val="31"/>
          <w:szCs w:val="31"/>
        </w:rPr>
        <w:t>积极开发具有民族传统的和地域特色的民间艺术和民俗表演项目。</w:t>
      </w:r>
      <w:r>
        <w:rPr>
          <w:rFonts w:hint="eastAsia" w:ascii="Times New Roman" w:hAnsi="Times New Roman" w:eastAsia="方正仿宋_GBK" w:cs="Times New Roman"/>
          <w:sz w:val="31"/>
          <w:szCs w:val="31"/>
        </w:rPr>
        <w:t>加强</w:t>
      </w: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rPr>
        <w:t>非遗</w:t>
      </w: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rPr>
        <w:t>保护发掘，积极开展非遗推广展示活动。不断加快建设公共文体旅智能云平台，线上全域智能文体旅体系，线下打造“云小屋”一张网覆盖，构建焉耆县一站式的公共文旅体综合服务，实现群众和游客一触即达。</w:t>
      </w:r>
    </w:p>
    <w:p>
      <w:pPr>
        <w:keepNext w:val="0"/>
        <w:keepLines w:val="0"/>
        <w:pageBreakBefore w:val="0"/>
        <w:widowControl w:val="0"/>
        <w:kinsoku/>
        <w:wordWrap/>
        <w:overflowPunct/>
        <w:topLinePunct w:val="0"/>
        <w:autoSpaceDE/>
        <w:autoSpaceDN/>
        <w:bidi w:val="0"/>
        <w:adjustRightInd/>
        <w:snapToGrid/>
        <w:spacing w:line="540" w:lineRule="exact"/>
        <w:ind w:firstLine="622" w:firstLineChars="200"/>
        <w:textAlignment w:val="auto"/>
        <w:rPr>
          <w:rFonts w:hint="default"/>
          <w:lang w:val="en-US" w:eastAsia="zh-CN"/>
        </w:rPr>
      </w:pPr>
      <w:r>
        <w:rPr>
          <w:rFonts w:hint="eastAsia" w:ascii="Times New Roman" w:hAnsi="Times New Roman" w:eastAsia="方正仿宋_GBK" w:cs="Times New Roman"/>
          <w:b/>
          <w:bCs/>
          <w:sz w:val="31"/>
          <w:szCs w:val="31"/>
          <w:lang w:eastAsia="zh-CN"/>
        </w:rPr>
        <w:t>——</w:t>
      </w:r>
      <w:r>
        <w:rPr>
          <w:rFonts w:hint="eastAsia" w:ascii="Times New Roman" w:hAnsi="Times New Roman" w:eastAsia="方正仿宋_GBK" w:cs="Times New Roman"/>
          <w:b/>
          <w:bCs/>
          <w:sz w:val="31"/>
          <w:szCs w:val="31"/>
        </w:rPr>
        <w:t>加强文物保护利用和文化遗产保护传承</w:t>
      </w:r>
      <w:r>
        <w:rPr>
          <w:rFonts w:hint="eastAsia" w:ascii="Times New Roman" w:hAnsi="Times New Roman" w:eastAsia="方正仿宋_GBK" w:cs="Times New Roman"/>
          <w:b/>
          <w:bCs/>
          <w:sz w:val="31"/>
          <w:szCs w:val="31"/>
          <w:lang w:eastAsia="zh-CN"/>
        </w:rPr>
        <w:t>。</w:t>
      </w:r>
      <w:r>
        <w:rPr>
          <w:rFonts w:hint="eastAsia" w:ascii="Times New Roman" w:hAnsi="Times New Roman" w:eastAsia="方正仿宋_GBK" w:cs="Times New Roman"/>
          <w:sz w:val="31"/>
          <w:szCs w:val="31"/>
        </w:rPr>
        <w:t>编制七个星佛寺国家考古遗址公园建设规划，争取“十四五”期间纳入国家考古遗址公园立项建设；加强对焉耆民间文化、民间戏曲、民间绝艺等非物质文化的传承保护与开发，树立焉耆“西游文化”“丝路文化”“古国文化”特色文化品牌；聚焦文商旅创融合，推进霍拉山佛寺遗址等文化设施建设与开放，举办面向全疆的观赏鸽、篮球等赛事活动，提升焉耆特色文化的开放包容度和传播影响力，注重发展“文化+创意”“文化+商业”“文化+旅游”产业，建设富有活力和独具魅力的文化强县</w:t>
      </w:r>
      <w:r>
        <w:rPr>
          <w:rFonts w:hint="eastAsia" w:ascii="Times New Roman" w:hAnsi="Times New Roman" w:eastAsia="方正仿宋_GBK" w:cs="Times New Roman"/>
          <w:sz w:val="31"/>
          <w:szCs w:val="31"/>
          <w:lang w:eastAsia="zh-CN"/>
        </w:rPr>
        <w:t>。</w:t>
      </w:r>
    </w:p>
    <w:tbl>
      <w:tblPr>
        <w:tblStyle w:val="15"/>
        <w:tblpPr w:leftFromText="180" w:rightFromText="180" w:vertAnchor="text" w:horzAnchor="page" w:tblpX="1514" w:tblpY="588"/>
        <w:tblOverlap w:val="never"/>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gridCol w:w="5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508" w:type="dxa"/>
            <w:gridSpan w:val="2"/>
            <w:tcBorders>
              <w:top w:val="thinThickSmallGap" w:color="auto" w:sz="24" w:space="0"/>
              <w:left w:val="thinThickSmallGap" w:color="auto" w:sz="24" w:space="0"/>
              <w:bottom w:val="thinThickSmallGap" w:color="auto" w:sz="24" w:space="0"/>
              <w:right w:val="thinThickSmallGap" w:color="auto" w:sz="24" w:space="0"/>
            </w:tcBorders>
            <w:vAlign w:val="top"/>
          </w:tcPr>
          <w:p>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lang w:val="en-US" w:eastAsia="en-US"/>
              </w:rPr>
            </w:pPr>
            <w:r>
              <w:rPr>
                <w:rFonts w:hint="eastAsia" w:ascii="方正黑体_GBK" w:hAnsi="方正黑体_GBK" w:eastAsia="方正黑体_GBK" w:cs="方正黑体_GBK"/>
                <w:lang w:val="en-US" w:eastAsia="zh-CN"/>
              </w:rPr>
              <w:t>专栏：</w:t>
            </w:r>
            <w:r>
              <w:rPr>
                <w:rFonts w:hint="eastAsia" w:ascii="方正黑体_GBK" w:hAnsi="方正黑体_GBK" w:eastAsia="方正黑体_GBK" w:cs="方正黑体_GBK"/>
                <w:lang w:val="en-US" w:eastAsia="en-US"/>
              </w:rPr>
              <w:t>项目支撑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140" w:type="dxa"/>
            <w:tcBorders>
              <w:top w:val="thinThickSmallGap" w:color="auto" w:sz="24" w:space="0"/>
              <w:left w:val="thinThickSmallGap" w:color="auto" w:sz="24" w:space="0"/>
              <w:bottom w:val="thinThickSmallGap" w:color="auto" w:sz="24" w:space="0"/>
              <w:right w:val="thinThickSmallGap" w:color="auto" w:sz="24" w:space="0"/>
            </w:tcBorders>
            <w:vAlign w:val="top"/>
          </w:tcPr>
          <w:p>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Theme="minorEastAsia" w:hAnsiTheme="minorEastAsia" w:eastAsiaTheme="minorEastAsia" w:cstheme="minorEastAsia"/>
                <w:sz w:val="20"/>
                <w:szCs w:val="20"/>
                <w:lang w:val="en-US" w:eastAsia="en-US"/>
              </w:rPr>
            </w:pPr>
            <w:r>
              <w:rPr>
                <w:rFonts w:hint="eastAsia" w:asciiTheme="minorEastAsia" w:hAnsiTheme="minorEastAsia" w:eastAsiaTheme="minorEastAsia" w:cstheme="minorEastAsia"/>
                <w:sz w:val="20"/>
                <w:szCs w:val="20"/>
                <w:lang w:eastAsia="zh-CN"/>
              </w:rPr>
              <w:t>焉耆县演艺中心建设项目</w:t>
            </w:r>
          </w:p>
        </w:tc>
        <w:tc>
          <w:tcPr>
            <w:tcW w:w="5368" w:type="dxa"/>
            <w:tcBorders>
              <w:top w:val="thinThickSmallGap" w:color="auto" w:sz="24" w:space="0"/>
              <w:left w:val="thinThickSmallGap" w:color="auto" w:sz="24" w:space="0"/>
              <w:bottom w:val="thinThickSmallGap" w:color="auto" w:sz="24" w:space="0"/>
              <w:right w:val="thinThickSmallGap" w:color="auto" w:sz="24" w:space="0"/>
            </w:tcBorders>
            <w:vAlign w:val="top"/>
          </w:tcPr>
          <w:p>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新建焉耆县演艺中心建设面积</w:t>
            </w:r>
            <w:r>
              <w:rPr>
                <w:rFonts w:hint="eastAsia" w:asciiTheme="minorEastAsia" w:hAnsiTheme="minorEastAsia" w:eastAsiaTheme="minorEastAsia" w:cstheme="minorEastAsia"/>
                <w:sz w:val="20"/>
                <w:szCs w:val="20"/>
                <w:lang w:val="en-US" w:eastAsia="zh-CN"/>
              </w:rPr>
              <w:t>2500平方米，包括培训室、舞蹈编排、传承展示培训中心和演绎大厅。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140" w:type="dxa"/>
            <w:tcBorders>
              <w:top w:val="thinThickSmallGap" w:color="auto" w:sz="24" w:space="0"/>
              <w:left w:val="thinThickSmallGap" w:color="auto" w:sz="24" w:space="0"/>
              <w:bottom w:val="thinThickSmallGap" w:color="auto" w:sz="24" w:space="0"/>
              <w:right w:val="thinThickSmallGap" w:color="auto" w:sz="24" w:space="0"/>
            </w:tcBorders>
            <w:vAlign w:val="top"/>
          </w:tcPr>
          <w:p>
            <w:pPr>
              <w:spacing w:after="0" w:line="240" w:lineRule="auto"/>
              <w:rPr>
                <w:rFonts w:hint="eastAsia" w:asciiTheme="minorEastAsia" w:hAnsiTheme="minorEastAsia" w:eastAsiaTheme="minorEastAsia" w:cstheme="minorEastAsia"/>
                <w:sz w:val="20"/>
                <w:szCs w:val="20"/>
                <w:lang w:eastAsia="zh-CN"/>
              </w:rPr>
            </w:pPr>
            <w:r>
              <w:rPr>
                <w:rFonts w:hint="eastAsia"/>
                <w:lang w:eastAsia="zh-CN"/>
              </w:rPr>
              <w:t>焉耆县文化馆、图书馆基础设施项目</w:t>
            </w:r>
          </w:p>
        </w:tc>
        <w:tc>
          <w:tcPr>
            <w:tcW w:w="5368" w:type="dxa"/>
            <w:tcBorders>
              <w:top w:val="thinThickSmallGap" w:color="auto" w:sz="24" w:space="0"/>
              <w:left w:val="thinThickSmallGap" w:color="auto" w:sz="24" w:space="0"/>
              <w:bottom w:val="thinThickSmallGap" w:color="auto" w:sz="24" w:space="0"/>
              <w:right w:val="thinThickSmallGap" w:color="auto" w:sz="24" w:space="0"/>
            </w:tcBorders>
            <w:vAlign w:val="top"/>
          </w:tcPr>
          <w:p>
            <w:pPr>
              <w:spacing w:after="0" w:line="240" w:lineRule="auto"/>
              <w:rPr>
                <w:rFonts w:hint="eastAsia" w:asciiTheme="minorEastAsia" w:hAnsiTheme="minorEastAsia" w:eastAsiaTheme="minorEastAsia" w:cstheme="minorEastAsia"/>
                <w:sz w:val="20"/>
                <w:szCs w:val="20"/>
                <w:lang w:eastAsia="zh-CN"/>
              </w:rPr>
            </w:pPr>
            <w:r>
              <w:rPr>
                <w:rFonts w:hint="eastAsia"/>
                <w:lang w:eastAsia="zh-CN"/>
              </w:rPr>
              <w:t>投资1800万，新建</w:t>
            </w:r>
            <w:r>
              <w:rPr>
                <w:rFonts w:hint="eastAsia"/>
                <w:lang w:val="en-US" w:eastAsia="zh-CN"/>
              </w:rPr>
              <w:t>2500平方米</w:t>
            </w:r>
            <w:r>
              <w:rPr>
                <w:rFonts w:hint="eastAsia"/>
                <w:lang w:eastAsia="zh-CN"/>
              </w:rPr>
              <w:t>文化馆，</w:t>
            </w:r>
            <w:r>
              <w:rPr>
                <w:rFonts w:hint="eastAsia"/>
                <w:lang w:val="en-US" w:eastAsia="zh-CN"/>
              </w:rPr>
              <w:t>2500平方米</w:t>
            </w:r>
            <w:r>
              <w:rPr>
                <w:rFonts w:hint="eastAsia"/>
                <w:lang w:eastAsia="zh-CN"/>
              </w:rPr>
              <w:t>图书馆基础设施项目。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140"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jc w:val="both"/>
              <w:rPr>
                <w:rFonts w:hint="eastAsia"/>
                <w:lang w:eastAsia="zh-CN"/>
              </w:rPr>
            </w:pPr>
            <w:r>
              <w:rPr>
                <w:rFonts w:hint="eastAsia"/>
                <w:lang w:eastAsia="zh-CN"/>
              </w:rPr>
              <w:t>焉耆县七个星石窟寺遗址保护利用设施建设项目</w:t>
            </w:r>
          </w:p>
        </w:tc>
        <w:tc>
          <w:tcPr>
            <w:tcW w:w="5368" w:type="dxa"/>
            <w:tcBorders>
              <w:top w:val="thinThickSmallGap" w:color="auto" w:sz="24" w:space="0"/>
              <w:left w:val="thinThickSmallGap" w:color="auto" w:sz="24" w:space="0"/>
              <w:bottom w:val="thinThickSmallGap" w:color="auto" w:sz="24" w:space="0"/>
              <w:right w:val="thinThickSmallGap" w:color="auto" w:sz="24" w:space="0"/>
            </w:tcBorders>
            <w:vAlign w:val="top"/>
          </w:tcPr>
          <w:p>
            <w:pPr>
              <w:spacing w:after="0" w:line="240" w:lineRule="auto"/>
              <w:rPr>
                <w:rFonts w:hint="eastAsia"/>
                <w:lang w:eastAsia="zh-CN"/>
              </w:rPr>
            </w:pPr>
            <w:r>
              <w:rPr>
                <w:rFonts w:hint="eastAsia"/>
                <w:lang w:eastAsia="zh-CN"/>
              </w:rPr>
              <w:t>新建遗址博物馆3000平方米、改扩建游客管理服务中心400平方米、外围连接石窟道路改造400米、内部参观木栈道400米。公厕一座200平方米。文物保护围栏改建200米。给排水设施、电力设施、电采暖设施各一套，化粪池一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140"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jc w:val="both"/>
              <w:rPr>
                <w:rFonts w:hint="eastAsia"/>
                <w:lang w:eastAsia="zh-CN"/>
              </w:rPr>
            </w:pPr>
            <w:r>
              <w:rPr>
                <w:rFonts w:hint="eastAsia"/>
                <w:lang w:eastAsia="zh-CN"/>
              </w:rPr>
              <w:t>巴州焉耆县霍拉山古村长城文化公园建设项目</w:t>
            </w:r>
          </w:p>
        </w:tc>
        <w:tc>
          <w:tcPr>
            <w:tcW w:w="5368" w:type="dxa"/>
            <w:tcBorders>
              <w:top w:val="thinThickSmallGap" w:color="auto" w:sz="24" w:space="0"/>
              <w:left w:val="thinThickSmallGap" w:color="auto" w:sz="24" w:space="0"/>
              <w:bottom w:val="thinThickSmallGap" w:color="auto" w:sz="24" w:space="0"/>
              <w:right w:val="thinThickSmallGap" w:color="auto" w:sz="24" w:space="0"/>
            </w:tcBorders>
            <w:vAlign w:val="top"/>
          </w:tcPr>
          <w:p>
            <w:pPr>
              <w:spacing w:after="0" w:line="240" w:lineRule="auto"/>
              <w:rPr>
                <w:rFonts w:hint="eastAsia"/>
                <w:lang w:eastAsia="zh-CN"/>
              </w:rPr>
            </w:pPr>
            <w:r>
              <w:rPr>
                <w:rFonts w:hint="eastAsia"/>
                <w:lang w:eastAsia="zh-CN"/>
              </w:rPr>
              <w:t>新建文化公园文物管理用房</w:t>
            </w:r>
            <w:r>
              <w:rPr>
                <w:rFonts w:hint="eastAsia"/>
                <w:lang w:val="en-US" w:eastAsia="zh-CN"/>
              </w:rPr>
              <w:t>100平方米，保护围栏500米，通往沟口、村北两个烽火台木栈道共620米，标识导览系统两套，新建连接通往霍拉山村北烽道路2500平方米。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140" w:type="dxa"/>
            <w:tcBorders>
              <w:top w:val="thinThickSmallGap" w:color="auto" w:sz="24" w:space="0"/>
              <w:left w:val="thinThickSmallGap" w:color="auto" w:sz="24" w:space="0"/>
              <w:bottom w:val="thinThickSmallGap" w:color="auto" w:sz="24" w:space="0"/>
              <w:right w:val="thinThickSmallGap" w:color="auto" w:sz="24" w:space="0"/>
            </w:tcBorders>
            <w:vAlign w:val="center"/>
          </w:tcPr>
          <w:p>
            <w:pPr>
              <w:spacing w:after="0" w:line="240" w:lineRule="auto"/>
              <w:jc w:val="both"/>
              <w:rPr>
                <w:rFonts w:hint="eastAsia"/>
                <w:lang w:eastAsia="zh-CN"/>
              </w:rPr>
            </w:pPr>
            <w:r>
              <w:rPr>
                <w:rFonts w:hint="eastAsia"/>
                <w:lang w:eastAsia="zh-CN"/>
              </w:rPr>
              <w:t>巴州东城新区体育公园项目</w:t>
            </w:r>
          </w:p>
        </w:tc>
        <w:tc>
          <w:tcPr>
            <w:tcW w:w="5368" w:type="dxa"/>
            <w:tcBorders>
              <w:top w:val="thinThickSmallGap" w:color="auto" w:sz="24" w:space="0"/>
              <w:left w:val="thinThickSmallGap" w:color="auto" w:sz="24" w:space="0"/>
              <w:bottom w:val="thinThickSmallGap" w:color="auto" w:sz="24" w:space="0"/>
              <w:right w:val="thinThickSmallGap" w:color="auto" w:sz="24" w:space="0"/>
            </w:tcBorders>
            <w:vAlign w:val="top"/>
          </w:tcPr>
          <w:p>
            <w:pPr>
              <w:spacing w:after="0" w:line="240" w:lineRule="auto"/>
              <w:rPr>
                <w:rFonts w:hint="eastAsia"/>
                <w:lang w:eastAsia="zh-CN"/>
              </w:rPr>
            </w:pPr>
            <w:r>
              <w:rPr>
                <w:rFonts w:hint="eastAsia"/>
                <w:lang w:eastAsia="zh-CN"/>
              </w:rPr>
              <w:t>新建面积</w:t>
            </w:r>
            <w:r>
              <w:rPr>
                <w:rFonts w:hint="eastAsia"/>
                <w:lang w:val="en-US" w:eastAsia="zh-CN"/>
              </w:rPr>
              <w:t>10万平方米，内设篮球场地、足球场地、网球等球类场地、步道、健身广场及配套设施。</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default" w:ascii="方正楷体_GBK" w:hAnsi="方正楷体_GBK" w:eastAsia="方正楷体_GBK" w:cs="方正楷体_GBK"/>
          <w:b w:val="0"/>
          <w:bCs/>
          <w:sz w:val="31"/>
          <w:szCs w:val="31"/>
          <w:lang w:val="en-US" w:eastAsia="zh-CN"/>
        </w:rPr>
      </w:pPr>
    </w:p>
    <w:p>
      <w:pPr>
        <w:pStyle w:val="7"/>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方正楷体_GBK" w:hAnsi="方正楷体_GBK" w:eastAsia="方正楷体_GBK" w:cs="方正楷体_GBK"/>
          <w:b w:val="0"/>
          <w:bCs/>
          <w:sz w:val="31"/>
          <w:szCs w:val="31"/>
          <w:lang w:val="en-US" w:eastAsia="zh-CN"/>
        </w:rPr>
      </w:pPr>
      <w:bookmarkStart w:id="390" w:name="_Toc2823"/>
      <w:bookmarkStart w:id="391" w:name="_Toc9194"/>
      <w:r>
        <w:rPr>
          <w:rFonts w:hint="default" w:ascii="方正楷体_GBK" w:hAnsi="方正楷体_GBK" w:eastAsia="方正楷体_GBK" w:cs="方正楷体_GBK"/>
          <w:b w:val="0"/>
          <w:bCs/>
          <w:sz w:val="31"/>
          <w:szCs w:val="31"/>
          <w:lang w:val="en-US" w:eastAsia="zh-CN"/>
        </w:rPr>
        <w:t>第六节  保障妇女、儿童、老年人和残疾人基本权益</w:t>
      </w:r>
      <w:bookmarkEnd w:id="388"/>
      <w:bookmarkEnd w:id="389"/>
      <w:bookmarkEnd w:id="390"/>
      <w:bookmarkEnd w:id="39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重点关注和解决留守儿童、贫困儿童教育问题，在儿童与健康、教育、福利、家庭、环境和法律保护六大方面全面提升，确保身心健康发展。贯彻落实男女平等基本国策，妇女在健康、教育、经济、决策和管理、社会保障、家庭建设、环境、法律八项领域指标全面达标，妇女的获得感幸福感安全感显著提升。加强家庭教育理论研究，规范家庭教育内容，强化品德教育在家庭教育中的核心地位，适应新时代家庭教育中的核心地位，适应新时代家庭教育发展的新需求，科学规范全县家庭教育指导服务行为，提升家庭教育指导服务水平，促进家庭教育事业全面发展。加快养老服务设施建设，建设康复中心和托养机构，进一步提高社会保障水平。</w:t>
      </w: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lang w:val="en-US" w:eastAsia="zh-CN"/>
        </w:rPr>
      </w:pPr>
      <w:bookmarkStart w:id="392" w:name="_Toc16725"/>
    </w:p>
    <w:p>
      <w:pPr>
        <w:pStyle w:val="6"/>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方正黑体_GBK" w:hAnsi="方正黑体_GBK" w:eastAsia="方正黑体_GBK" w:cs="方正黑体_GBK"/>
          <w:b w:val="0"/>
          <w:bCs w:val="0"/>
          <w:sz w:val="31"/>
          <w:szCs w:val="31"/>
          <w:lang w:val="en-US" w:eastAsia="zh-CN"/>
        </w:rPr>
      </w:pPr>
      <w:bookmarkStart w:id="393" w:name="_Toc24845"/>
      <w:bookmarkStart w:id="394" w:name="_Toc31216"/>
      <w:bookmarkStart w:id="395" w:name="_Toc16346"/>
      <w:bookmarkStart w:id="396" w:name="_Toc11485"/>
      <w:bookmarkStart w:id="397" w:name="_Toc12644"/>
      <w:r>
        <w:rPr>
          <w:rFonts w:hint="default" w:ascii="方正黑体_GBK" w:hAnsi="方正黑体_GBK" w:eastAsia="方正黑体_GBK" w:cs="方正黑体_GBK"/>
          <w:b w:val="0"/>
          <w:bCs w:val="0"/>
          <w:sz w:val="31"/>
          <w:szCs w:val="31"/>
          <w:lang w:val="en-US" w:eastAsia="zh-CN"/>
        </w:rPr>
        <w:t>第十一章  大力推动兵地融合发展，奋力实现共建共赢</w:t>
      </w:r>
      <w:bookmarkEnd w:id="392"/>
      <w:bookmarkEnd w:id="393"/>
      <w:bookmarkEnd w:id="394"/>
      <w:bookmarkEnd w:id="395"/>
      <w:bookmarkEnd w:id="396"/>
      <w:bookmarkEnd w:id="39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牢固树立兵地“一盘棋”思想，支持第二师二十七团深化改革和融合发展，加强兵地发展规划统筹协调，形成经济融合发展、文化交融共建、维稳责任共担、民族团结共创的局面。</w:t>
      </w: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lang w:val="en-US" w:eastAsia="zh-CN"/>
        </w:rPr>
      </w:pPr>
      <w:bookmarkStart w:id="398" w:name="_Toc18106"/>
    </w:p>
    <w:p>
      <w:pPr>
        <w:pStyle w:val="7"/>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方正楷体_GBK" w:hAnsi="方正楷体_GBK" w:eastAsia="方正楷体_GBK" w:cs="方正楷体_GBK"/>
          <w:b w:val="0"/>
          <w:bCs/>
          <w:sz w:val="31"/>
          <w:szCs w:val="31"/>
          <w:lang w:val="en-US" w:eastAsia="zh-CN"/>
        </w:rPr>
      </w:pPr>
      <w:bookmarkStart w:id="399" w:name="_Toc13770"/>
      <w:bookmarkStart w:id="400" w:name="_Toc1224"/>
      <w:bookmarkStart w:id="401" w:name="_Toc18137"/>
      <w:bookmarkStart w:id="402" w:name="_Toc28156"/>
      <w:bookmarkStart w:id="403" w:name="_Toc18832"/>
      <w:r>
        <w:rPr>
          <w:rFonts w:hint="default" w:ascii="方正楷体_GBK" w:hAnsi="方正楷体_GBK" w:eastAsia="方正楷体_GBK" w:cs="方正楷体_GBK"/>
          <w:b w:val="0"/>
          <w:bCs/>
          <w:sz w:val="31"/>
          <w:szCs w:val="31"/>
          <w:lang w:val="en-US" w:eastAsia="zh-CN"/>
        </w:rPr>
        <w:t>第一节  延伸优势，力促融合</w:t>
      </w:r>
      <w:bookmarkEnd w:id="398"/>
      <w:bookmarkEnd w:id="399"/>
      <w:bookmarkEnd w:id="400"/>
      <w:bookmarkEnd w:id="401"/>
      <w:bookmarkEnd w:id="402"/>
      <w:bookmarkEnd w:id="40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坚决落实兵团发展战略举措，探索兵地融合发展改革试点，加强兵地发展规划衔接协调，实现统一规划、同步建设、共同受益。推进兵地交通、水利、能源、通信等基础设施和公共服务设施建设互联互通、共建共管共享。完善兵地联合维稳常态化机制，形成兵地维稳合力。推动兵地融合发展，形成连点成线，提升辐射带动周边发展的能力水平，推动兵地优势资源和产业互补。</w:t>
      </w: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lang w:val="en-US" w:eastAsia="zh-CN"/>
        </w:rPr>
      </w:pPr>
      <w:bookmarkStart w:id="404" w:name="_Toc22073"/>
    </w:p>
    <w:p>
      <w:pPr>
        <w:pStyle w:val="7"/>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方正楷体_GBK" w:hAnsi="方正楷体_GBK" w:eastAsia="方正楷体_GBK" w:cs="方正楷体_GBK"/>
          <w:b w:val="0"/>
          <w:bCs/>
          <w:sz w:val="31"/>
          <w:szCs w:val="31"/>
          <w:lang w:val="en-US" w:eastAsia="zh-CN"/>
        </w:rPr>
      </w:pPr>
      <w:bookmarkStart w:id="405" w:name="_Toc17165"/>
      <w:bookmarkStart w:id="406" w:name="_Toc13624"/>
      <w:bookmarkStart w:id="407" w:name="_Toc31401"/>
      <w:bookmarkStart w:id="408" w:name="_Toc24647"/>
      <w:bookmarkStart w:id="409" w:name="_Toc8785"/>
      <w:r>
        <w:rPr>
          <w:rFonts w:hint="default" w:ascii="方正楷体_GBK" w:hAnsi="方正楷体_GBK" w:eastAsia="方正楷体_GBK" w:cs="方正楷体_GBK"/>
          <w:b w:val="0"/>
          <w:bCs/>
          <w:sz w:val="31"/>
          <w:szCs w:val="31"/>
          <w:lang w:val="en-US" w:eastAsia="zh-CN"/>
        </w:rPr>
        <w:t>第二节  辐射带动，资源共享</w:t>
      </w:r>
      <w:bookmarkEnd w:id="404"/>
      <w:bookmarkEnd w:id="405"/>
      <w:bookmarkEnd w:id="406"/>
      <w:bookmarkEnd w:id="407"/>
      <w:bookmarkEnd w:id="408"/>
      <w:bookmarkEnd w:id="40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与二十七团开展全方位、多领域、深层次的交流合作，促进兵地融合发展朝着更高层次迈进。着力提高农业集约化水平，发展特色农业、农副产品加工业，加快发展二三产业吸纳就业。本着优势互补、互惠互利的原则，打破区划限制，把因产业定位、资源制约、基础配套以及功能区位差异等原因不宜在二十七团落地的项目，转移至河北巴州生态产业园建设。</w:t>
      </w: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lang w:val="en-US" w:eastAsia="zh-CN"/>
        </w:rPr>
      </w:pPr>
      <w:bookmarkStart w:id="410" w:name="_Toc17571"/>
    </w:p>
    <w:p>
      <w:pPr>
        <w:pStyle w:val="7"/>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方正楷体_GBK" w:hAnsi="方正楷体_GBK" w:eastAsia="方正楷体_GBK" w:cs="方正楷体_GBK"/>
          <w:b w:val="0"/>
          <w:bCs/>
          <w:sz w:val="31"/>
          <w:szCs w:val="31"/>
          <w:lang w:val="en-US" w:eastAsia="zh-CN"/>
        </w:rPr>
      </w:pPr>
      <w:bookmarkStart w:id="411" w:name="_Toc15701"/>
      <w:bookmarkStart w:id="412" w:name="_Toc27116"/>
      <w:bookmarkStart w:id="413" w:name="_Toc10515"/>
      <w:bookmarkStart w:id="414" w:name="_Toc11727"/>
      <w:bookmarkStart w:id="415" w:name="_Toc25117"/>
      <w:r>
        <w:rPr>
          <w:rFonts w:hint="default" w:ascii="方正楷体_GBK" w:hAnsi="方正楷体_GBK" w:eastAsia="方正楷体_GBK" w:cs="方正楷体_GBK"/>
          <w:b w:val="0"/>
          <w:bCs/>
          <w:sz w:val="31"/>
          <w:szCs w:val="31"/>
          <w:lang w:val="en-US" w:eastAsia="zh-CN"/>
        </w:rPr>
        <w:t>第三节  文化融合，增进友谊</w:t>
      </w:r>
      <w:bookmarkEnd w:id="410"/>
      <w:bookmarkEnd w:id="411"/>
      <w:bookmarkEnd w:id="412"/>
      <w:bookmarkEnd w:id="413"/>
      <w:bookmarkEnd w:id="414"/>
      <w:bookmarkEnd w:id="41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不断扩大兵地间文化交流，增进文化共享，更好推动兵地文化繁荣。广泛开展文化联谊活动，增进情谊，加深各族群众对彼此传统文化的了解。发挥先进文化优势，通过完善兵地基本公共文化服务体系，建设覆盖兵团、辐射地方的现代公共文化服务体系，促进兵地融合、推动民族团结，形成强大的凝聚力和向心力。</w:t>
      </w:r>
    </w:p>
    <w:p>
      <w:pPr>
        <w:bidi w:val="0"/>
        <w:rPr>
          <w:rFonts w:hint="default"/>
          <w:lang w:val="en-US" w:eastAsia="zh-CN"/>
        </w:rPr>
      </w:pPr>
      <w:bookmarkStart w:id="416" w:name="_Toc28390"/>
    </w:p>
    <w:p>
      <w:pPr>
        <w:pStyle w:val="6"/>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方正黑体_GBK" w:hAnsi="方正黑体_GBK" w:eastAsia="方正黑体_GBK" w:cs="方正黑体_GBK"/>
          <w:b w:val="0"/>
          <w:bCs w:val="0"/>
          <w:sz w:val="31"/>
          <w:szCs w:val="31"/>
          <w:lang w:val="en-US" w:eastAsia="zh-CN"/>
        </w:rPr>
      </w:pPr>
      <w:bookmarkStart w:id="417" w:name="_Toc18673"/>
      <w:bookmarkStart w:id="418" w:name="_Toc23972"/>
      <w:bookmarkStart w:id="419" w:name="_Toc19080"/>
      <w:bookmarkStart w:id="420" w:name="_Toc3828"/>
      <w:bookmarkStart w:id="421" w:name="_Toc30210"/>
      <w:r>
        <w:rPr>
          <w:rFonts w:hint="default" w:ascii="方正黑体_GBK" w:hAnsi="方正黑体_GBK" w:eastAsia="方正黑体_GBK" w:cs="方正黑体_GBK"/>
          <w:b w:val="0"/>
          <w:bCs w:val="0"/>
          <w:sz w:val="31"/>
          <w:szCs w:val="31"/>
          <w:lang w:val="en-US" w:eastAsia="zh-CN"/>
        </w:rPr>
        <w:t>第十二章  加大合作交流，持续提升对口援疆综合效益</w:t>
      </w:r>
      <w:bookmarkEnd w:id="416"/>
      <w:bookmarkEnd w:id="417"/>
      <w:bookmarkEnd w:id="418"/>
      <w:bookmarkEnd w:id="419"/>
      <w:bookmarkEnd w:id="420"/>
      <w:bookmarkEnd w:id="42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lang w:val="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lang w:val="zh-CN"/>
        </w:rPr>
      </w:pPr>
      <w:r>
        <w:rPr>
          <w:rFonts w:hint="default" w:ascii="Times New Roman" w:hAnsi="Times New Roman" w:eastAsia="方正仿宋_GBK" w:cs="Times New Roman"/>
          <w:sz w:val="31"/>
          <w:szCs w:val="31"/>
          <w:lang w:val="zh-CN"/>
        </w:rPr>
        <w:t>突出抓好人才援疆，探索创新“小组团”支援模式，务实推进产业援疆，把更多援疆项目向基层倾斜，扎实做好文化教育援疆，</w:t>
      </w:r>
      <w:r>
        <w:rPr>
          <w:rFonts w:hint="default" w:ascii="Times New Roman" w:hAnsi="Times New Roman" w:eastAsia="方正仿宋_GBK" w:cs="Times New Roman"/>
          <w:sz w:val="31"/>
          <w:szCs w:val="31"/>
        </w:rPr>
        <w:t>深化交流合作，促进对口支援从单方受益为主向双方受益转变，</w:t>
      </w:r>
      <w:r>
        <w:rPr>
          <w:rFonts w:hint="default" w:ascii="Times New Roman" w:hAnsi="Times New Roman" w:eastAsia="方正仿宋_GBK" w:cs="Times New Roman"/>
          <w:sz w:val="31"/>
          <w:szCs w:val="31"/>
          <w:lang w:val="zh-CN"/>
        </w:rPr>
        <w:t>更好释放援疆综合效益。</w:t>
      </w: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lang w:val="en-US" w:eastAsia="zh-CN"/>
        </w:rPr>
      </w:pPr>
      <w:bookmarkStart w:id="422" w:name="_Toc27405"/>
    </w:p>
    <w:p>
      <w:pPr>
        <w:pStyle w:val="7"/>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方正楷体_GBK" w:hAnsi="方正楷体_GBK" w:eastAsia="方正楷体_GBK" w:cs="方正楷体_GBK"/>
          <w:b w:val="0"/>
          <w:bCs/>
          <w:sz w:val="31"/>
          <w:szCs w:val="31"/>
          <w:lang w:val="en-US" w:eastAsia="zh-CN"/>
        </w:rPr>
      </w:pPr>
      <w:bookmarkStart w:id="423" w:name="_Toc32418"/>
      <w:bookmarkStart w:id="424" w:name="_Toc22925"/>
      <w:bookmarkStart w:id="425" w:name="_Toc22750"/>
      <w:bookmarkStart w:id="426" w:name="_Toc22236"/>
      <w:bookmarkStart w:id="427" w:name="_Toc17683"/>
      <w:r>
        <w:rPr>
          <w:rFonts w:hint="default" w:ascii="方正楷体_GBK" w:hAnsi="方正楷体_GBK" w:eastAsia="方正楷体_GBK" w:cs="方正楷体_GBK"/>
          <w:b w:val="0"/>
          <w:bCs/>
          <w:sz w:val="31"/>
          <w:szCs w:val="31"/>
          <w:lang w:val="en-US" w:eastAsia="zh-CN"/>
        </w:rPr>
        <w:t>第一节  突出抓好干部人才援疆</w:t>
      </w:r>
      <w:bookmarkEnd w:id="422"/>
      <w:bookmarkEnd w:id="423"/>
      <w:bookmarkEnd w:id="424"/>
      <w:bookmarkEnd w:id="425"/>
      <w:bookmarkEnd w:id="426"/>
      <w:bookmarkEnd w:id="42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坚持把引进和培养人才作为援疆工作的重点，加强教师、医疗卫生、农技、政法、产业园区运营管理、金融等人才精准对接，进一步加大优秀专业人才援疆力度，科学管理使用援疆干部人才，把援疆干部安排在最适合、最能发挥才干的岗位上任实职、担实责，让各类援疆干部人才释放潜能、大显身手。充分发挥专业技术人才的聪明才智和传帮带作用，加大对骨干人才的培养。实施更积极、更开放、更有效的人才引进政策，运用市场办法加大人才柔性援疆力度，缓解人才短缺问题。</w:t>
      </w:r>
    </w:p>
    <w:p>
      <w:pPr>
        <w:bidi w:val="0"/>
        <w:rPr>
          <w:rFonts w:hint="default"/>
          <w:lang w:val="en-US" w:eastAsia="zh-CN"/>
        </w:rPr>
      </w:pPr>
      <w:bookmarkStart w:id="428" w:name="_Toc31264"/>
      <w:bookmarkStart w:id="429" w:name="_Toc32048"/>
      <w:bookmarkStart w:id="430" w:name="_Toc13176"/>
      <w:bookmarkStart w:id="431" w:name="_Toc8293"/>
    </w:p>
    <w:p>
      <w:pPr>
        <w:pStyle w:val="7"/>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方正楷体_GBK" w:hAnsi="方正楷体_GBK" w:eastAsia="方正楷体_GBK" w:cs="方正楷体_GBK"/>
          <w:b w:val="0"/>
          <w:bCs/>
          <w:sz w:val="31"/>
          <w:szCs w:val="31"/>
          <w:lang w:val="en-US" w:eastAsia="zh-CN"/>
        </w:rPr>
      </w:pPr>
      <w:bookmarkStart w:id="432" w:name="_Toc6357"/>
      <w:bookmarkStart w:id="433" w:name="_Toc16189"/>
      <w:r>
        <w:rPr>
          <w:rFonts w:hint="default" w:ascii="方正楷体_GBK" w:hAnsi="方正楷体_GBK" w:eastAsia="方正楷体_GBK" w:cs="方正楷体_GBK"/>
          <w:b w:val="0"/>
          <w:bCs/>
          <w:sz w:val="31"/>
          <w:szCs w:val="31"/>
          <w:lang w:val="en-US" w:eastAsia="zh-CN"/>
        </w:rPr>
        <w:t>第二节  深化社会事业援疆</w:t>
      </w:r>
      <w:bookmarkEnd w:id="428"/>
      <w:bookmarkEnd w:id="429"/>
      <w:bookmarkEnd w:id="430"/>
      <w:bookmarkEnd w:id="431"/>
      <w:bookmarkEnd w:id="432"/>
      <w:bookmarkEnd w:id="43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确保80%以上援疆资金用于民生改善、用于基层基础。把干部人才援疆放在更加突出的位置，丰富和改进人才援疆项目，探索创新“小组团”支援模式，更好释放综合效益。积极争取河北省廊坊市每年选派在岗优秀教师到焉耆中小学、幼儿园开展支教，加大幼儿园和义务教育阶段寄宿制学校建设力度、改善乡村学校办学条件。持续加强与疆内外三甲医院医疗协作，加快推进医疗人才培养，为全县医疗卫生事业持续发展提供强有力的人才支撑。协调河北省廊坊市加大对村（社区）基层组织建设的支持力度，努力把基层组织建设成为服务群众的坚强战斗堡垒。</w:t>
      </w:r>
    </w:p>
    <w:p>
      <w:pPr>
        <w:bidi w:val="0"/>
        <w:rPr>
          <w:rFonts w:hint="default"/>
          <w:lang w:val="en-US" w:eastAsia="zh-CN"/>
        </w:rPr>
      </w:pPr>
      <w:bookmarkStart w:id="434" w:name="_Toc23173"/>
    </w:p>
    <w:p>
      <w:pPr>
        <w:pStyle w:val="7"/>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方正楷体_GBK" w:hAnsi="方正楷体_GBK" w:eastAsia="方正楷体_GBK" w:cs="方正楷体_GBK"/>
          <w:b w:val="0"/>
          <w:bCs/>
          <w:sz w:val="31"/>
          <w:szCs w:val="31"/>
          <w:lang w:val="en-US" w:eastAsia="zh-CN"/>
        </w:rPr>
      </w:pPr>
      <w:bookmarkStart w:id="435" w:name="_Toc22913"/>
      <w:bookmarkStart w:id="436" w:name="_Toc23421"/>
      <w:bookmarkStart w:id="437" w:name="_Toc2506"/>
      <w:bookmarkStart w:id="438" w:name="_Toc30693"/>
      <w:bookmarkStart w:id="439" w:name="_Toc18466"/>
      <w:r>
        <w:rPr>
          <w:rFonts w:hint="default" w:ascii="方正楷体_GBK" w:hAnsi="方正楷体_GBK" w:eastAsia="方正楷体_GBK" w:cs="方正楷体_GBK"/>
          <w:b w:val="0"/>
          <w:bCs/>
          <w:sz w:val="31"/>
          <w:szCs w:val="31"/>
          <w:lang w:val="en-US" w:eastAsia="zh-CN"/>
        </w:rPr>
        <w:t>第三节  着力促进各民族交往交流交融</w:t>
      </w:r>
      <w:bookmarkEnd w:id="434"/>
      <w:bookmarkEnd w:id="435"/>
      <w:bookmarkEnd w:id="436"/>
      <w:bookmarkEnd w:id="437"/>
      <w:bookmarkEnd w:id="438"/>
      <w:bookmarkEnd w:id="43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充分发挥对口援疆的桥梁纽带作用，搭建多层次的交往交流交融平台。组织焉耆爱国宗教人士、基层干部群众及社会各界人士到内地参观学习，鼓励援疆省市广大群众到焉耆旅游交流，积极组织开展“交朋友”“手拉手”以及学习团、参观团、夏令营等青少年交往活动，主动加强与河北省廊坊市高等院校、科研院所的交流合作。</w:t>
      </w:r>
    </w:p>
    <w:p>
      <w:pPr>
        <w:bidi w:val="0"/>
        <w:rPr>
          <w:rFonts w:hint="default"/>
          <w:lang w:val="en-US" w:eastAsia="zh-CN"/>
        </w:rPr>
      </w:pPr>
      <w:bookmarkStart w:id="440" w:name="_Toc3366"/>
      <w:bookmarkStart w:id="441" w:name="_Toc3560"/>
      <w:bookmarkStart w:id="442" w:name="_Toc32679"/>
      <w:bookmarkStart w:id="443" w:name="_Toc7178"/>
    </w:p>
    <w:p>
      <w:pPr>
        <w:pStyle w:val="7"/>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方正楷体_GBK" w:hAnsi="方正楷体_GBK" w:eastAsia="方正楷体_GBK" w:cs="方正楷体_GBK"/>
          <w:b w:val="0"/>
          <w:bCs/>
          <w:sz w:val="31"/>
          <w:szCs w:val="31"/>
          <w:lang w:val="en-US" w:eastAsia="zh-CN"/>
        </w:rPr>
      </w:pPr>
      <w:bookmarkStart w:id="444" w:name="_Toc18045"/>
      <w:bookmarkStart w:id="445" w:name="_Toc25623"/>
      <w:r>
        <w:rPr>
          <w:rFonts w:hint="default" w:ascii="方正楷体_GBK" w:hAnsi="方正楷体_GBK" w:eastAsia="方正楷体_GBK" w:cs="方正楷体_GBK"/>
          <w:b w:val="0"/>
          <w:bCs/>
          <w:sz w:val="31"/>
          <w:szCs w:val="31"/>
          <w:lang w:val="en-US" w:eastAsia="zh-CN"/>
        </w:rPr>
        <w:t xml:space="preserve">第四节  </w:t>
      </w:r>
      <w:r>
        <w:rPr>
          <w:rFonts w:hint="eastAsia" w:ascii="方正楷体_GBK" w:hAnsi="方正楷体_GBK" w:eastAsia="方正楷体_GBK" w:cs="方正楷体_GBK"/>
          <w:b w:val="0"/>
          <w:bCs/>
          <w:sz w:val="31"/>
          <w:szCs w:val="31"/>
          <w:lang w:val="en-US" w:eastAsia="zh-CN"/>
        </w:rPr>
        <w:t>“</w:t>
      </w:r>
      <w:r>
        <w:rPr>
          <w:rFonts w:hint="default" w:ascii="方正楷体_GBK" w:hAnsi="方正楷体_GBK" w:eastAsia="方正楷体_GBK" w:cs="方正楷体_GBK"/>
          <w:b w:val="0"/>
          <w:bCs/>
          <w:sz w:val="31"/>
          <w:szCs w:val="31"/>
          <w:lang w:val="en-US" w:eastAsia="zh-CN"/>
        </w:rPr>
        <w:t>飞地经济”合作共赢</w:t>
      </w:r>
      <w:bookmarkEnd w:id="440"/>
      <w:bookmarkEnd w:id="441"/>
      <w:bookmarkEnd w:id="442"/>
      <w:bookmarkEnd w:id="443"/>
      <w:bookmarkEnd w:id="444"/>
      <w:bookmarkEnd w:id="44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方正黑体_GBK" w:hAnsi="方正黑体_GBK" w:eastAsia="方正黑体_GBK" w:cs="方正黑体_GBK"/>
          <w:b w:val="0"/>
          <w:bCs w:val="0"/>
          <w:sz w:val="31"/>
          <w:szCs w:val="31"/>
          <w:lang w:val="en-US" w:eastAsia="zh-CN"/>
        </w:rPr>
      </w:pPr>
      <w:r>
        <w:rPr>
          <w:rFonts w:hint="default" w:ascii="Times New Roman" w:hAnsi="Times New Roman" w:eastAsia="方正仿宋_GBK" w:cs="Times New Roman"/>
          <w:sz w:val="31"/>
          <w:szCs w:val="31"/>
        </w:rPr>
        <w:t>以明确“飞出地”“飞入地”权利利益关系为前提，积极创新区域合作的组织保障、规划衔接、利益协调、激励约束、资金分担、信息共享、政策协调等机制，支持兄弟县市招商引资项目落地园区，形成资源共享、平台共建、优势互补、互利双赢的“飞地经济”，努力走出一条共引、共建、共享、共赢的高质量发展之路。</w:t>
      </w:r>
    </w:p>
    <w:p>
      <w:pPr>
        <w:bidi w:val="0"/>
        <w:rPr>
          <w:rFonts w:hint="default"/>
          <w:lang w:val="en-US" w:eastAsia="zh-CN"/>
        </w:rPr>
      </w:pPr>
      <w:bookmarkStart w:id="446" w:name="_Toc25451"/>
      <w:bookmarkStart w:id="447" w:name="_Toc4069"/>
      <w:bookmarkStart w:id="448" w:name="_Toc6514"/>
      <w:bookmarkStart w:id="449" w:name="_Toc21690"/>
      <w:bookmarkStart w:id="450" w:name="_Toc1311"/>
    </w:p>
    <w:p>
      <w:pPr>
        <w:pStyle w:val="6"/>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方正黑体_GBK" w:hAnsi="方正黑体_GBK" w:eastAsia="方正黑体_GBK" w:cs="方正黑体_GBK"/>
          <w:b w:val="0"/>
          <w:bCs w:val="0"/>
          <w:sz w:val="31"/>
          <w:szCs w:val="31"/>
          <w:lang w:val="en-US" w:eastAsia="zh-CN"/>
        </w:rPr>
      </w:pPr>
      <w:r>
        <w:rPr>
          <w:rFonts w:hint="default" w:ascii="方正黑体_GBK" w:hAnsi="方正黑体_GBK" w:eastAsia="方正黑体_GBK" w:cs="方正黑体_GBK"/>
          <w:b w:val="0"/>
          <w:bCs w:val="0"/>
          <w:sz w:val="31"/>
          <w:szCs w:val="31"/>
          <w:lang w:val="en-US" w:eastAsia="zh-CN"/>
        </w:rPr>
        <w:t>第十三章  切实加强党的全面领导，确保规划顺利实施</w:t>
      </w:r>
      <w:bookmarkEnd w:id="446"/>
      <w:bookmarkEnd w:id="447"/>
      <w:bookmarkEnd w:id="448"/>
      <w:bookmarkEnd w:id="449"/>
      <w:bookmarkEnd w:id="45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实现“十四五”规划和二〇三五年远景目标，必须坚持党的全面领导，充分调动一切积极因素，团结全县各族干部群众，形成推动发展的强大合力。</w:t>
      </w:r>
    </w:p>
    <w:p>
      <w:pPr>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bookmarkStart w:id="451" w:name="_Toc3400"/>
      <w:bookmarkStart w:id="452" w:name="_Toc12246"/>
      <w:bookmarkStart w:id="453" w:name="_Toc6177"/>
      <w:bookmarkStart w:id="454" w:name="_Toc11828"/>
    </w:p>
    <w:p>
      <w:pPr>
        <w:pStyle w:val="7"/>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方正楷体_GBK" w:hAnsi="方正楷体_GBK" w:eastAsia="方正楷体_GBK" w:cs="方正楷体_GBK"/>
          <w:b w:val="0"/>
          <w:bCs/>
          <w:sz w:val="31"/>
          <w:szCs w:val="31"/>
          <w:lang w:val="en-US" w:eastAsia="zh-CN"/>
        </w:rPr>
      </w:pPr>
      <w:bookmarkStart w:id="455" w:name="_Toc16572"/>
      <w:bookmarkStart w:id="456" w:name="_Toc25237"/>
      <w:r>
        <w:rPr>
          <w:rFonts w:hint="default" w:ascii="方正楷体_GBK" w:hAnsi="方正楷体_GBK" w:eastAsia="方正楷体_GBK" w:cs="方正楷体_GBK"/>
          <w:b w:val="0"/>
          <w:bCs/>
          <w:sz w:val="31"/>
          <w:szCs w:val="31"/>
          <w:lang w:val="en-US" w:eastAsia="zh-CN"/>
        </w:rPr>
        <w:t>第一节  加强组织领导</w:t>
      </w:r>
      <w:bookmarkEnd w:id="451"/>
      <w:bookmarkEnd w:id="452"/>
      <w:bookmarkEnd w:id="453"/>
      <w:bookmarkEnd w:id="454"/>
      <w:bookmarkEnd w:id="455"/>
      <w:bookmarkEnd w:id="45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加强党的全面领导，充分认识实施第十四个五年规划的重要性、紧迫性和艰巨性，切实加强对规划实施工作的组织领导，建立部门之间沟通协调机制，定期召开协调会，研究解决推进规划实施过程中遇到的重大问题，采取强有力措施推进本规划顺利实施。</w:t>
      </w:r>
    </w:p>
    <w:p>
      <w:pPr>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bookmarkStart w:id="457" w:name="_Toc31351"/>
      <w:bookmarkStart w:id="458" w:name="_Toc32097"/>
      <w:bookmarkStart w:id="459" w:name="_Toc13625"/>
      <w:bookmarkStart w:id="460" w:name="_Toc8190"/>
    </w:p>
    <w:p>
      <w:pPr>
        <w:pStyle w:val="7"/>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方正楷体_GBK" w:hAnsi="方正楷体_GBK" w:eastAsia="方正楷体_GBK" w:cs="方正楷体_GBK"/>
          <w:b w:val="0"/>
          <w:bCs/>
          <w:sz w:val="31"/>
          <w:szCs w:val="31"/>
          <w:lang w:val="en-US" w:eastAsia="zh-CN"/>
        </w:rPr>
      </w:pPr>
      <w:bookmarkStart w:id="461" w:name="_Toc26186"/>
      <w:bookmarkStart w:id="462" w:name="_Toc13162"/>
      <w:r>
        <w:rPr>
          <w:rFonts w:hint="default" w:ascii="方正楷体_GBK" w:hAnsi="方正楷体_GBK" w:eastAsia="方正楷体_GBK" w:cs="方正楷体_GBK"/>
          <w:b w:val="0"/>
          <w:bCs/>
          <w:sz w:val="31"/>
          <w:szCs w:val="31"/>
          <w:lang w:val="en-US" w:eastAsia="zh-CN"/>
        </w:rPr>
        <w:t>第二节  加大资金投入</w:t>
      </w:r>
      <w:bookmarkEnd w:id="457"/>
      <w:bookmarkEnd w:id="458"/>
      <w:bookmarkEnd w:id="459"/>
      <w:bookmarkEnd w:id="460"/>
      <w:bookmarkEnd w:id="461"/>
      <w:bookmarkEnd w:id="46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加大财政投入力度，把民生类项目建设资金纳入年度财政预算，保证逐年有所增长。建立多元化融资渠道，发挥市场机制配置资源的基础性作用，支持产业类项目进行设备融资、债券融资等。推进建设项目市场化、产业化进程，充分发挥市场在资源配置中决定性作用。</w:t>
      </w:r>
    </w:p>
    <w:p>
      <w:pPr>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bookmarkStart w:id="463" w:name="_Toc17712"/>
      <w:bookmarkStart w:id="464" w:name="_Toc7430"/>
      <w:bookmarkStart w:id="465" w:name="_Toc23284"/>
      <w:bookmarkStart w:id="466" w:name="_Toc30686"/>
    </w:p>
    <w:p>
      <w:pPr>
        <w:pStyle w:val="7"/>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方正楷体_GBK" w:hAnsi="方正楷体_GBK" w:eastAsia="方正楷体_GBK" w:cs="方正楷体_GBK"/>
          <w:b w:val="0"/>
          <w:bCs/>
          <w:sz w:val="31"/>
          <w:szCs w:val="31"/>
          <w:lang w:val="en-US" w:eastAsia="zh-CN"/>
        </w:rPr>
      </w:pPr>
      <w:bookmarkStart w:id="467" w:name="_Toc17580"/>
      <w:bookmarkStart w:id="468" w:name="_Toc28573"/>
      <w:r>
        <w:rPr>
          <w:rFonts w:hint="default" w:ascii="方正楷体_GBK" w:hAnsi="方正楷体_GBK" w:eastAsia="方正楷体_GBK" w:cs="方正楷体_GBK"/>
          <w:b w:val="0"/>
          <w:bCs/>
          <w:sz w:val="31"/>
          <w:szCs w:val="31"/>
          <w:lang w:val="en-US" w:eastAsia="zh-CN"/>
        </w:rPr>
        <w:t>第三节  完善监督机制</w:t>
      </w:r>
      <w:bookmarkEnd w:id="463"/>
      <w:bookmarkEnd w:id="464"/>
      <w:bookmarkEnd w:id="465"/>
      <w:bookmarkEnd w:id="466"/>
      <w:bookmarkEnd w:id="467"/>
      <w:bookmarkEnd w:id="46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rPr>
        <w:t>畅通监督渠道，发挥行政监察、组织人事、统计审计等部门的监督作用，完善政府向人大、政协的报告和沟通机制。发挥社会各界对规划实施情况的监督作用，积极开展公众评价。加强规划宣传，增强公众对规划的认知、认可和认同，营造全社会共同参与和支持规划实施的良好氛围，全面推进规划的落地实施。</w:t>
      </w:r>
    </w:p>
    <w:sectPr>
      <w:footerReference r:id="rId3" w:type="default"/>
      <w:pgSz w:w="11906" w:h="16838"/>
      <w:pgMar w:top="1871"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G Times">
    <w:altName w:val="微软雅黑"/>
    <w:panose1 w:val="02020603050405020304"/>
    <w:charset w:val="00"/>
    <w:family w:val="moder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i/>
        <w:iC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C4287"/>
    <w:rsid w:val="000033F1"/>
    <w:rsid w:val="005A4A92"/>
    <w:rsid w:val="009B7274"/>
    <w:rsid w:val="00C02830"/>
    <w:rsid w:val="00E93C83"/>
    <w:rsid w:val="01016D5A"/>
    <w:rsid w:val="01033CF9"/>
    <w:rsid w:val="01110C8E"/>
    <w:rsid w:val="01571F92"/>
    <w:rsid w:val="016837D8"/>
    <w:rsid w:val="018805A5"/>
    <w:rsid w:val="01932225"/>
    <w:rsid w:val="01C23780"/>
    <w:rsid w:val="01C5561C"/>
    <w:rsid w:val="01D75B1D"/>
    <w:rsid w:val="02336344"/>
    <w:rsid w:val="027B73D5"/>
    <w:rsid w:val="027C08BA"/>
    <w:rsid w:val="02865231"/>
    <w:rsid w:val="02A35D42"/>
    <w:rsid w:val="02BC1023"/>
    <w:rsid w:val="02D67E2E"/>
    <w:rsid w:val="03280F17"/>
    <w:rsid w:val="036B68AF"/>
    <w:rsid w:val="03727F12"/>
    <w:rsid w:val="03B56F95"/>
    <w:rsid w:val="03F06C1D"/>
    <w:rsid w:val="041F5CAF"/>
    <w:rsid w:val="043943A9"/>
    <w:rsid w:val="04EF04D6"/>
    <w:rsid w:val="050F71D6"/>
    <w:rsid w:val="051527C1"/>
    <w:rsid w:val="052554F8"/>
    <w:rsid w:val="0530412B"/>
    <w:rsid w:val="0558465C"/>
    <w:rsid w:val="05CE01C7"/>
    <w:rsid w:val="065A284F"/>
    <w:rsid w:val="069F3733"/>
    <w:rsid w:val="06E80649"/>
    <w:rsid w:val="06EB7EC8"/>
    <w:rsid w:val="070856BC"/>
    <w:rsid w:val="071F5352"/>
    <w:rsid w:val="073E464E"/>
    <w:rsid w:val="074F6DDD"/>
    <w:rsid w:val="07573D9E"/>
    <w:rsid w:val="07660FE2"/>
    <w:rsid w:val="07733CCB"/>
    <w:rsid w:val="078B5E6F"/>
    <w:rsid w:val="07BA5D29"/>
    <w:rsid w:val="07F02D76"/>
    <w:rsid w:val="07FA2DF2"/>
    <w:rsid w:val="08283803"/>
    <w:rsid w:val="08813871"/>
    <w:rsid w:val="08AE40E7"/>
    <w:rsid w:val="095C4259"/>
    <w:rsid w:val="096C4DFB"/>
    <w:rsid w:val="09D073B2"/>
    <w:rsid w:val="0A5E1E99"/>
    <w:rsid w:val="0AA37D43"/>
    <w:rsid w:val="0AB62335"/>
    <w:rsid w:val="0ADA70EC"/>
    <w:rsid w:val="0B223E95"/>
    <w:rsid w:val="0B2F74DE"/>
    <w:rsid w:val="0B5B0E0E"/>
    <w:rsid w:val="0C02101F"/>
    <w:rsid w:val="0C126E20"/>
    <w:rsid w:val="0C625F2E"/>
    <w:rsid w:val="0C7577CE"/>
    <w:rsid w:val="0C9A645C"/>
    <w:rsid w:val="0CAE7DB3"/>
    <w:rsid w:val="0CE67DD2"/>
    <w:rsid w:val="0D897919"/>
    <w:rsid w:val="0DAB4DE6"/>
    <w:rsid w:val="0DC3295C"/>
    <w:rsid w:val="0E0B32D0"/>
    <w:rsid w:val="0E1176AD"/>
    <w:rsid w:val="0E532525"/>
    <w:rsid w:val="0E8B0009"/>
    <w:rsid w:val="0ECA2B31"/>
    <w:rsid w:val="0F2A424E"/>
    <w:rsid w:val="0F3335A8"/>
    <w:rsid w:val="0F9A0693"/>
    <w:rsid w:val="0FA650D5"/>
    <w:rsid w:val="0FFF0840"/>
    <w:rsid w:val="104E42BD"/>
    <w:rsid w:val="10770F9D"/>
    <w:rsid w:val="109029DB"/>
    <w:rsid w:val="10C07E2C"/>
    <w:rsid w:val="10D72BC5"/>
    <w:rsid w:val="10F55A20"/>
    <w:rsid w:val="11AB7C6F"/>
    <w:rsid w:val="11B42ED5"/>
    <w:rsid w:val="11F430EA"/>
    <w:rsid w:val="12167642"/>
    <w:rsid w:val="127E4DC1"/>
    <w:rsid w:val="12DA0247"/>
    <w:rsid w:val="12E13416"/>
    <w:rsid w:val="12FA4CE1"/>
    <w:rsid w:val="13132A3C"/>
    <w:rsid w:val="132466B5"/>
    <w:rsid w:val="135A6A26"/>
    <w:rsid w:val="13845576"/>
    <w:rsid w:val="13876C1A"/>
    <w:rsid w:val="13A125FC"/>
    <w:rsid w:val="13EB52C4"/>
    <w:rsid w:val="13F506A3"/>
    <w:rsid w:val="142475A3"/>
    <w:rsid w:val="14500A82"/>
    <w:rsid w:val="14545B50"/>
    <w:rsid w:val="14C060DB"/>
    <w:rsid w:val="14E54085"/>
    <w:rsid w:val="150A5727"/>
    <w:rsid w:val="15840A32"/>
    <w:rsid w:val="15BF5009"/>
    <w:rsid w:val="16036787"/>
    <w:rsid w:val="16B02DDA"/>
    <w:rsid w:val="16C0520E"/>
    <w:rsid w:val="16D44066"/>
    <w:rsid w:val="17686BBF"/>
    <w:rsid w:val="17C437F9"/>
    <w:rsid w:val="17D37A26"/>
    <w:rsid w:val="17F64428"/>
    <w:rsid w:val="180040D0"/>
    <w:rsid w:val="181644AC"/>
    <w:rsid w:val="182C76D6"/>
    <w:rsid w:val="183A5914"/>
    <w:rsid w:val="1841100C"/>
    <w:rsid w:val="18A525BD"/>
    <w:rsid w:val="193D02D1"/>
    <w:rsid w:val="19516F3B"/>
    <w:rsid w:val="19D97EBB"/>
    <w:rsid w:val="1A0D1ED0"/>
    <w:rsid w:val="1A2E2DB8"/>
    <w:rsid w:val="1A350500"/>
    <w:rsid w:val="1A443C42"/>
    <w:rsid w:val="1A5435EA"/>
    <w:rsid w:val="1A561174"/>
    <w:rsid w:val="1A804E59"/>
    <w:rsid w:val="1AFE12B2"/>
    <w:rsid w:val="1B0675A1"/>
    <w:rsid w:val="1B362878"/>
    <w:rsid w:val="1B4A5C0A"/>
    <w:rsid w:val="1B855E81"/>
    <w:rsid w:val="1C7F3545"/>
    <w:rsid w:val="1CFC5467"/>
    <w:rsid w:val="1D5F72D8"/>
    <w:rsid w:val="1D7F3CB5"/>
    <w:rsid w:val="1D98379C"/>
    <w:rsid w:val="1DA213CC"/>
    <w:rsid w:val="1DAD59CE"/>
    <w:rsid w:val="1DAF6830"/>
    <w:rsid w:val="1DB20F5A"/>
    <w:rsid w:val="1DE74000"/>
    <w:rsid w:val="1E14356A"/>
    <w:rsid w:val="1ED622DB"/>
    <w:rsid w:val="1F64759C"/>
    <w:rsid w:val="1F762E7E"/>
    <w:rsid w:val="1F8971E7"/>
    <w:rsid w:val="2016612A"/>
    <w:rsid w:val="20384DA7"/>
    <w:rsid w:val="206D7D1F"/>
    <w:rsid w:val="20BC5446"/>
    <w:rsid w:val="20ED0398"/>
    <w:rsid w:val="21320340"/>
    <w:rsid w:val="213E01EA"/>
    <w:rsid w:val="21A70E40"/>
    <w:rsid w:val="21BC5B3A"/>
    <w:rsid w:val="22D95620"/>
    <w:rsid w:val="22E6551B"/>
    <w:rsid w:val="22F81AF5"/>
    <w:rsid w:val="2301328A"/>
    <w:rsid w:val="2304054C"/>
    <w:rsid w:val="236F2763"/>
    <w:rsid w:val="237C7C72"/>
    <w:rsid w:val="238C4DB0"/>
    <w:rsid w:val="23B600D3"/>
    <w:rsid w:val="23D069A0"/>
    <w:rsid w:val="240627FD"/>
    <w:rsid w:val="241D5609"/>
    <w:rsid w:val="242C4287"/>
    <w:rsid w:val="24417C09"/>
    <w:rsid w:val="246975D3"/>
    <w:rsid w:val="24D225B2"/>
    <w:rsid w:val="25066903"/>
    <w:rsid w:val="250A7F45"/>
    <w:rsid w:val="251350B2"/>
    <w:rsid w:val="25284D51"/>
    <w:rsid w:val="25670700"/>
    <w:rsid w:val="25805103"/>
    <w:rsid w:val="25A61308"/>
    <w:rsid w:val="25C43288"/>
    <w:rsid w:val="25D90012"/>
    <w:rsid w:val="25E95257"/>
    <w:rsid w:val="260A4BE3"/>
    <w:rsid w:val="26DE4DBD"/>
    <w:rsid w:val="26E243E0"/>
    <w:rsid w:val="27157F3D"/>
    <w:rsid w:val="27396A43"/>
    <w:rsid w:val="2780540D"/>
    <w:rsid w:val="278416DE"/>
    <w:rsid w:val="27A34D24"/>
    <w:rsid w:val="284B1484"/>
    <w:rsid w:val="285D0684"/>
    <w:rsid w:val="287422E4"/>
    <w:rsid w:val="28A96E18"/>
    <w:rsid w:val="28AE4101"/>
    <w:rsid w:val="28BE3C1D"/>
    <w:rsid w:val="28C95018"/>
    <w:rsid w:val="28F56A0E"/>
    <w:rsid w:val="29022D8C"/>
    <w:rsid w:val="293254C4"/>
    <w:rsid w:val="29672325"/>
    <w:rsid w:val="297B425E"/>
    <w:rsid w:val="298D2B66"/>
    <w:rsid w:val="29B14332"/>
    <w:rsid w:val="29D72941"/>
    <w:rsid w:val="29E836CB"/>
    <w:rsid w:val="29FE4CF5"/>
    <w:rsid w:val="2A417711"/>
    <w:rsid w:val="2A5A2C32"/>
    <w:rsid w:val="2A8A21D5"/>
    <w:rsid w:val="2A9541B2"/>
    <w:rsid w:val="2A967F86"/>
    <w:rsid w:val="2AEA6A54"/>
    <w:rsid w:val="2B057504"/>
    <w:rsid w:val="2B4A2C0C"/>
    <w:rsid w:val="2B806947"/>
    <w:rsid w:val="2C0A22A2"/>
    <w:rsid w:val="2C213F3F"/>
    <w:rsid w:val="2CA7353B"/>
    <w:rsid w:val="2CDE1D5E"/>
    <w:rsid w:val="2CDE5459"/>
    <w:rsid w:val="2CE22DD7"/>
    <w:rsid w:val="2D014A75"/>
    <w:rsid w:val="2D357A19"/>
    <w:rsid w:val="2D6126B0"/>
    <w:rsid w:val="2E05154E"/>
    <w:rsid w:val="2E6024F3"/>
    <w:rsid w:val="2E7415AC"/>
    <w:rsid w:val="2E92235D"/>
    <w:rsid w:val="2EAE31D5"/>
    <w:rsid w:val="2EB057A5"/>
    <w:rsid w:val="2EF94185"/>
    <w:rsid w:val="2F094625"/>
    <w:rsid w:val="2F4326D3"/>
    <w:rsid w:val="2F521F6C"/>
    <w:rsid w:val="2F7314D7"/>
    <w:rsid w:val="2FF32DE2"/>
    <w:rsid w:val="306539BB"/>
    <w:rsid w:val="307456F4"/>
    <w:rsid w:val="307E5035"/>
    <w:rsid w:val="30846A6E"/>
    <w:rsid w:val="308974F6"/>
    <w:rsid w:val="30FE661F"/>
    <w:rsid w:val="314D42E5"/>
    <w:rsid w:val="316D1835"/>
    <w:rsid w:val="31B2766F"/>
    <w:rsid w:val="31E41E0A"/>
    <w:rsid w:val="322723F4"/>
    <w:rsid w:val="323D4515"/>
    <w:rsid w:val="324D0571"/>
    <w:rsid w:val="329529B9"/>
    <w:rsid w:val="33075009"/>
    <w:rsid w:val="3338743C"/>
    <w:rsid w:val="33836D81"/>
    <w:rsid w:val="338D5876"/>
    <w:rsid w:val="3397233F"/>
    <w:rsid w:val="33DD501A"/>
    <w:rsid w:val="33EA267C"/>
    <w:rsid w:val="33F745B4"/>
    <w:rsid w:val="34265A41"/>
    <w:rsid w:val="343323E6"/>
    <w:rsid w:val="3479207E"/>
    <w:rsid w:val="349602D5"/>
    <w:rsid w:val="34A117B6"/>
    <w:rsid w:val="3523226F"/>
    <w:rsid w:val="35755AB7"/>
    <w:rsid w:val="358932B5"/>
    <w:rsid w:val="358D1148"/>
    <w:rsid w:val="35A90085"/>
    <w:rsid w:val="35DA5A72"/>
    <w:rsid w:val="35F31D53"/>
    <w:rsid w:val="36006527"/>
    <w:rsid w:val="363F6002"/>
    <w:rsid w:val="37922D4D"/>
    <w:rsid w:val="37AD38DA"/>
    <w:rsid w:val="37B645E1"/>
    <w:rsid w:val="37C71309"/>
    <w:rsid w:val="37D12F01"/>
    <w:rsid w:val="38344615"/>
    <w:rsid w:val="38474DE0"/>
    <w:rsid w:val="38AA7E96"/>
    <w:rsid w:val="38E4255B"/>
    <w:rsid w:val="3916274B"/>
    <w:rsid w:val="39E611A5"/>
    <w:rsid w:val="3A074BED"/>
    <w:rsid w:val="3A715AD7"/>
    <w:rsid w:val="3AB70A9B"/>
    <w:rsid w:val="3ADF5488"/>
    <w:rsid w:val="3B1C2FCB"/>
    <w:rsid w:val="3B3D39B3"/>
    <w:rsid w:val="3B55713F"/>
    <w:rsid w:val="3C322A07"/>
    <w:rsid w:val="3C6B10ED"/>
    <w:rsid w:val="3CB90FF5"/>
    <w:rsid w:val="3D1C4826"/>
    <w:rsid w:val="3D5909E8"/>
    <w:rsid w:val="3D7D3D08"/>
    <w:rsid w:val="3DAB766E"/>
    <w:rsid w:val="3DF119F5"/>
    <w:rsid w:val="3E3240B0"/>
    <w:rsid w:val="3E5F5B22"/>
    <w:rsid w:val="3ED8303A"/>
    <w:rsid w:val="3EF36743"/>
    <w:rsid w:val="3F0F0565"/>
    <w:rsid w:val="3F417285"/>
    <w:rsid w:val="3F8211DB"/>
    <w:rsid w:val="3FBB7268"/>
    <w:rsid w:val="3FBB7E5D"/>
    <w:rsid w:val="400110D0"/>
    <w:rsid w:val="401A7635"/>
    <w:rsid w:val="405C55E0"/>
    <w:rsid w:val="40691F04"/>
    <w:rsid w:val="407A223F"/>
    <w:rsid w:val="40C531D2"/>
    <w:rsid w:val="41680F53"/>
    <w:rsid w:val="41BC529D"/>
    <w:rsid w:val="41EE69C9"/>
    <w:rsid w:val="42230BF0"/>
    <w:rsid w:val="4248716F"/>
    <w:rsid w:val="426A55E1"/>
    <w:rsid w:val="42802AB4"/>
    <w:rsid w:val="42E300B5"/>
    <w:rsid w:val="43BD4E99"/>
    <w:rsid w:val="447E5376"/>
    <w:rsid w:val="44C3185F"/>
    <w:rsid w:val="456340D9"/>
    <w:rsid w:val="456D4FF5"/>
    <w:rsid w:val="45C25AD4"/>
    <w:rsid w:val="460020FE"/>
    <w:rsid w:val="46034D02"/>
    <w:rsid w:val="46B93F37"/>
    <w:rsid w:val="472B3896"/>
    <w:rsid w:val="47951AFE"/>
    <w:rsid w:val="47C957E2"/>
    <w:rsid w:val="47E34D28"/>
    <w:rsid w:val="47F0241B"/>
    <w:rsid w:val="496B7183"/>
    <w:rsid w:val="498D40AB"/>
    <w:rsid w:val="499A545D"/>
    <w:rsid w:val="49A60762"/>
    <w:rsid w:val="4A2F65EC"/>
    <w:rsid w:val="4A3A220B"/>
    <w:rsid w:val="4A431DE5"/>
    <w:rsid w:val="4A4F4F8A"/>
    <w:rsid w:val="4A8A2DF1"/>
    <w:rsid w:val="4A9D7593"/>
    <w:rsid w:val="4B6E3CD9"/>
    <w:rsid w:val="4B83049F"/>
    <w:rsid w:val="4BA664EF"/>
    <w:rsid w:val="4BBC0048"/>
    <w:rsid w:val="4BC017FB"/>
    <w:rsid w:val="4C2A0926"/>
    <w:rsid w:val="4CD82B6E"/>
    <w:rsid w:val="4D2465FF"/>
    <w:rsid w:val="4DDA37D7"/>
    <w:rsid w:val="4E1B6F8C"/>
    <w:rsid w:val="4F416757"/>
    <w:rsid w:val="4F537C7B"/>
    <w:rsid w:val="4F5F3D51"/>
    <w:rsid w:val="4F7827B7"/>
    <w:rsid w:val="4F8E1C8B"/>
    <w:rsid w:val="4F9809F9"/>
    <w:rsid w:val="5038025B"/>
    <w:rsid w:val="50AF7018"/>
    <w:rsid w:val="512E0855"/>
    <w:rsid w:val="51B71C09"/>
    <w:rsid w:val="51E65055"/>
    <w:rsid w:val="51FC393A"/>
    <w:rsid w:val="523111D9"/>
    <w:rsid w:val="52DA58A1"/>
    <w:rsid w:val="52EB253E"/>
    <w:rsid w:val="532777C5"/>
    <w:rsid w:val="53974AA0"/>
    <w:rsid w:val="53DA2256"/>
    <w:rsid w:val="53DC3E14"/>
    <w:rsid w:val="53E13780"/>
    <w:rsid w:val="5420695C"/>
    <w:rsid w:val="557C65B2"/>
    <w:rsid w:val="557D4A9E"/>
    <w:rsid w:val="5593079B"/>
    <w:rsid w:val="55E02732"/>
    <w:rsid w:val="566560AB"/>
    <w:rsid w:val="56B02022"/>
    <w:rsid w:val="57001458"/>
    <w:rsid w:val="571A7345"/>
    <w:rsid w:val="57562348"/>
    <w:rsid w:val="577A2F8E"/>
    <w:rsid w:val="57900A47"/>
    <w:rsid w:val="579F6518"/>
    <w:rsid w:val="58234839"/>
    <w:rsid w:val="582A54F8"/>
    <w:rsid w:val="585A0C2C"/>
    <w:rsid w:val="586B64D0"/>
    <w:rsid w:val="5880308B"/>
    <w:rsid w:val="58BD6EEE"/>
    <w:rsid w:val="58D77518"/>
    <w:rsid w:val="5948711F"/>
    <w:rsid w:val="59D311D3"/>
    <w:rsid w:val="59EC175B"/>
    <w:rsid w:val="5A7B1B42"/>
    <w:rsid w:val="5A9439B8"/>
    <w:rsid w:val="5ABD3FBB"/>
    <w:rsid w:val="5B5A2F3A"/>
    <w:rsid w:val="5B5E7426"/>
    <w:rsid w:val="5B6254B1"/>
    <w:rsid w:val="5BBF076D"/>
    <w:rsid w:val="5C254A44"/>
    <w:rsid w:val="5C345812"/>
    <w:rsid w:val="5C725C09"/>
    <w:rsid w:val="5CA23634"/>
    <w:rsid w:val="5CD3729E"/>
    <w:rsid w:val="5CED5C44"/>
    <w:rsid w:val="5D1C11E7"/>
    <w:rsid w:val="5D3C2CD9"/>
    <w:rsid w:val="5D5C6831"/>
    <w:rsid w:val="5DD13710"/>
    <w:rsid w:val="5DDF6F56"/>
    <w:rsid w:val="5DE430E8"/>
    <w:rsid w:val="5DE7628F"/>
    <w:rsid w:val="5E14193D"/>
    <w:rsid w:val="5E2B56EA"/>
    <w:rsid w:val="5E4A2A6B"/>
    <w:rsid w:val="5F39490E"/>
    <w:rsid w:val="5F663090"/>
    <w:rsid w:val="5F725DC5"/>
    <w:rsid w:val="5F7B0B7C"/>
    <w:rsid w:val="5FC002DE"/>
    <w:rsid w:val="60675BCC"/>
    <w:rsid w:val="60AF7253"/>
    <w:rsid w:val="61332836"/>
    <w:rsid w:val="61491B48"/>
    <w:rsid w:val="61EB6442"/>
    <w:rsid w:val="621A6FC8"/>
    <w:rsid w:val="623A42F6"/>
    <w:rsid w:val="62820BE7"/>
    <w:rsid w:val="62AA2471"/>
    <w:rsid w:val="62C85519"/>
    <w:rsid w:val="62DA58F8"/>
    <w:rsid w:val="62E03BA7"/>
    <w:rsid w:val="62F546A6"/>
    <w:rsid w:val="63102755"/>
    <w:rsid w:val="633875AF"/>
    <w:rsid w:val="636A7486"/>
    <w:rsid w:val="63C23140"/>
    <w:rsid w:val="63E26FB7"/>
    <w:rsid w:val="63F144EC"/>
    <w:rsid w:val="640813D1"/>
    <w:rsid w:val="64163330"/>
    <w:rsid w:val="641A52B4"/>
    <w:rsid w:val="64620490"/>
    <w:rsid w:val="64916AA2"/>
    <w:rsid w:val="64C73DC8"/>
    <w:rsid w:val="65823263"/>
    <w:rsid w:val="65E037FA"/>
    <w:rsid w:val="65E03DFC"/>
    <w:rsid w:val="66755EDA"/>
    <w:rsid w:val="668F4170"/>
    <w:rsid w:val="676B6058"/>
    <w:rsid w:val="677924A0"/>
    <w:rsid w:val="67A07DE5"/>
    <w:rsid w:val="67AF0FD5"/>
    <w:rsid w:val="67E553AD"/>
    <w:rsid w:val="67EB28A8"/>
    <w:rsid w:val="67F8791A"/>
    <w:rsid w:val="680E6506"/>
    <w:rsid w:val="682C49D7"/>
    <w:rsid w:val="683603C3"/>
    <w:rsid w:val="6865345F"/>
    <w:rsid w:val="6882364B"/>
    <w:rsid w:val="688F445B"/>
    <w:rsid w:val="689375C9"/>
    <w:rsid w:val="68C611FD"/>
    <w:rsid w:val="68F20018"/>
    <w:rsid w:val="6A7935EC"/>
    <w:rsid w:val="6AA83A74"/>
    <w:rsid w:val="6AFB3446"/>
    <w:rsid w:val="6B2453EA"/>
    <w:rsid w:val="6BCF20F8"/>
    <w:rsid w:val="6BE40945"/>
    <w:rsid w:val="6C174A61"/>
    <w:rsid w:val="6CA07AB7"/>
    <w:rsid w:val="6CA14EE0"/>
    <w:rsid w:val="6D3F082B"/>
    <w:rsid w:val="6D4341BF"/>
    <w:rsid w:val="6D6C7C65"/>
    <w:rsid w:val="6D90230D"/>
    <w:rsid w:val="6D9E0018"/>
    <w:rsid w:val="6DB41AFE"/>
    <w:rsid w:val="6DCB51B5"/>
    <w:rsid w:val="6DF85365"/>
    <w:rsid w:val="6E4E417C"/>
    <w:rsid w:val="6E6B451C"/>
    <w:rsid w:val="701005B3"/>
    <w:rsid w:val="7066182F"/>
    <w:rsid w:val="70C143AA"/>
    <w:rsid w:val="70EA4289"/>
    <w:rsid w:val="70F06425"/>
    <w:rsid w:val="7169081E"/>
    <w:rsid w:val="71ED2373"/>
    <w:rsid w:val="7286702F"/>
    <w:rsid w:val="72ED0BD8"/>
    <w:rsid w:val="730F51B2"/>
    <w:rsid w:val="73865CAD"/>
    <w:rsid w:val="739656E6"/>
    <w:rsid w:val="73B53A8A"/>
    <w:rsid w:val="73DB29E8"/>
    <w:rsid w:val="740B5676"/>
    <w:rsid w:val="74400C85"/>
    <w:rsid w:val="7445504B"/>
    <w:rsid w:val="74684589"/>
    <w:rsid w:val="7483214D"/>
    <w:rsid w:val="749C1B12"/>
    <w:rsid w:val="74A16422"/>
    <w:rsid w:val="74DA0AC7"/>
    <w:rsid w:val="758034E5"/>
    <w:rsid w:val="75D3298D"/>
    <w:rsid w:val="762D3D6F"/>
    <w:rsid w:val="76653A0E"/>
    <w:rsid w:val="76AA672D"/>
    <w:rsid w:val="76EA2E02"/>
    <w:rsid w:val="76FF3469"/>
    <w:rsid w:val="77225ADC"/>
    <w:rsid w:val="7736514E"/>
    <w:rsid w:val="77481A95"/>
    <w:rsid w:val="77587AD5"/>
    <w:rsid w:val="77AC6565"/>
    <w:rsid w:val="7817029F"/>
    <w:rsid w:val="78662D03"/>
    <w:rsid w:val="78841EB0"/>
    <w:rsid w:val="79707511"/>
    <w:rsid w:val="799D349C"/>
    <w:rsid w:val="79C119A9"/>
    <w:rsid w:val="79E50620"/>
    <w:rsid w:val="7A0F4F3D"/>
    <w:rsid w:val="7A216073"/>
    <w:rsid w:val="7A2E7830"/>
    <w:rsid w:val="7A3A3F87"/>
    <w:rsid w:val="7A594DF8"/>
    <w:rsid w:val="7A724442"/>
    <w:rsid w:val="7A990290"/>
    <w:rsid w:val="7AB133BE"/>
    <w:rsid w:val="7B0A706A"/>
    <w:rsid w:val="7B1A2651"/>
    <w:rsid w:val="7B5F3E47"/>
    <w:rsid w:val="7B9655F1"/>
    <w:rsid w:val="7BDB1709"/>
    <w:rsid w:val="7BF71401"/>
    <w:rsid w:val="7C46030C"/>
    <w:rsid w:val="7C461DBD"/>
    <w:rsid w:val="7D0A6587"/>
    <w:rsid w:val="7D600BEA"/>
    <w:rsid w:val="7D637324"/>
    <w:rsid w:val="7D832AA2"/>
    <w:rsid w:val="7D990A16"/>
    <w:rsid w:val="7DA71C51"/>
    <w:rsid w:val="7E306F18"/>
    <w:rsid w:val="7EC327D3"/>
    <w:rsid w:val="7F0B126A"/>
    <w:rsid w:val="7F4130B6"/>
    <w:rsid w:val="7F635576"/>
    <w:rsid w:val="7FD04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8">
    <w:name w:val="heading 3"/>
    <w:basedOn w:val="1"/>
    <w:next w:val="1"/>
    <w:unhideWhenUsed/>
    <w:qFormat/>
    <w:uiPriority w:val="0"/>
    <w:pPr>
      <w:keepNext/>
      <w:keepLines/>
      <w:ind w:firstLine="200" w:firstLineChars="200"/>
      <w:outlineLvl w:val="2"/>
    </w:pPr>
    <w:rPr>
      <w:rFonts w:ascii="仿宋" w:hAnsi="仿宋" w:cs="宋体"/>
      <w:color w:val="FF0000"/>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line="312" w:lineRule="auto"/>
      <w:ind w:firstLine="420"/>
    </w:pPr>
    <w:rPr>
      <w:rFonts w:ascii="宋体" w:hAnsi="CG Times"/>
      <w:bCs/>
      <w:sz w:val="24"/>
    </w:rPr>
  </w:style>
  <w:style w:type="paragraph" w:styleId="3">
    <w:name w:val="Body Text Indent"/>
    <w:basedOn w:val="1"/>
    <w:next w:val="4"/>
    <w:qFormat/>
    <w:uiPriority w:val="0"/>
    <w:pPr>
      <w:spacing w:after="120"/>
      <w:ind w:left="420" w:leftChars="200"/>
    </w:pPr>
  </w:style>
  <w:style w:type="paragraph" w:styleId="4">
    <w:name w:val="Body Text"/>
    <w:basedOn w:val="1"/>
    <w:qFormat/>
    <w:uiPriority w:val="0"/>
    <w:rPr>
      <w:rFonts w:ascii="Calibri" w:hAnsi="Calibri" w:cs="Times New Roman"/>
    </w:rPr>
  </w:style>
  <w:style w:type="paragraph" w:styleId="5">
    <w:name w:val="Body Text First Indent"/>
    <w:basedOn w:val="4"/>
    <w:qFormat/>
    <w:uiPriority w:val="0"/>
  </w:style>
  <w:style w:type="paragraph" w:styleId="9">
    <w:name w:val="annotation text"/>
    <w:basedOn w:val="1"/>
    <w:unhideWhenUsed/>
    <w:qFormat/>
    <w:uiPriority w:val="99"/>
    <w:pPr>
      <w:jc w:val="left"/>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table" w:styleId="15">
    <w:name w:val="Table Grid"/>
    <w:basedOn w:val="14"/>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annotation reference"/>
    <w:unhideWhenUsed/>
    <w:qFormat/>
    <w:uiPriority w:val="99"/>
    <w:rPr>
      <w:sz w:val="21"/>
      <w:szCs w:val="21"/>
    </w:rPr>
  </w:style>
  <w:style w:type="paragraph" w:customStyle="1" w:styleId="18">
    <w:name w:val="BodyText1I2"/>
    <w:basedOn w:val="19"/>
    <w:qFormat/>
    <w:uiPriority w:val="0"/>
    <w:pPr>
      <w:spacing w:before="100" w:beforeAutospacing="1"/>
      <w:ind w:left="0" w:firstLine="420" w:firstLineChars="200"/>
    </w:pPr>
    <w:rPr>
      <w:rFonts w:ascii="Times New Roman" w:hAnsi="Times New Roman"/>
    </w:rPr>
  </w:style>
  <w:style w:type="paragraph" w:customStyle="1" w:styleId="19">
    <w:name w:val="BodyTextIndent"/>
    <w:basedOn w:val="1"/>
    <w:qFormat/>
    <w:uiPriority w:val="0"/>
    <w:pPr>
      <w:spacing w:after="120"/>
      <w:ind w:left="420" w:leftChars="200"/>
      <w:textAlignment w:val="baseline"/>
    </w:pPr>
  </w:style>
  <w:style w:type="paragraph" w:customStyle="1" w:styleId="20">
    <w:name w:val="WPSOffice手动目录 1"/>
    <w:qFormat/>
    <w:uiPriority w:val="0"/>
    <w:pPr>
      <w:ind w:leftChars="0"/>
    </w:pPr>
    <w:rPr>
      <w:rFonts w:ascii="Calibri" w:hAnsi="Calibri" w:eastAsia="宋体" w:cs="Times New Roman"/>
      <w:sz w:val="20"/>
      <w:szCs w:val="20"/>
    </w:rPr>
  </w:style>
  <w:style w:type="paragraph" w:customStyle="1" w:styleId="21">
    <w:name w:val="WPSOffice手动目录 2"/>
    <w:qFormat/>
    <w:uiPriority w:val="0"/>
    <w:pPr>
      <w:ind w:leftChars="200"/>
    </w:pPr>
    <w:rPr>
      <w:rFonts w:ascii="Calibri" w:hAnsi="Calibri" w:eastAsia="宋体" w:cs="Times New Roman"/>
      <w:sz w:val="20"/>
      <w:szCs w:val="20"/>
    </w:rPr>
  </w:style>
  <w:style w:type="paragraph" w:customStyle="1" w:styleId="22">
    <w:name w:val="样式正文"/>
    <w:basedOn w:val="1"/>
    <w:qFormat/>
    <w:uiPriority w:val="0"/>
    <w:pPr>
      <w:ind w:firstLine="200" w:firstLineChars="200"/>
    </w:pPr>
    <w:rPr>
      <w:rFonts w:ascii="Times New Roman" w:hAnsi="Times New Roman" w:eastAsia="仿宋_GB2312"/>
      <w:sz w:val="30"/>
    </w:rPr>
  </w:style>
  <w:style w:type="character" w:customStyle="1" w:styleId="23">
    <w:name w:val="font71"/>
    <w:basedOn w:val="16"/>
    <w:qFormat/>
    <w:uiPriority w:val="0"/>
    <w:rPr>
      <w:rFonts w:ascii="宋体" w:hAnsi="宋体" w:eastAsia="宋体" w:cs="宋体"/>
      <w:color w:val="000000"/>
      <w:sz w:val="18"/>
      <w:szCs w:val="18"/>
      <w:u w:val="none"/>
    </w:rPr>
  </w:style>
  <w:style w:type="character" w:customStyle="1" w:styleId="24">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2020-12-17T11:57:00Z</dcterms:created>
  <dc:creator>shb</dc:creator>
  <cp:lastModifiedBy>Administrator</cp:lastModifiedBy>
  <cp:lastPrinted>2021-10-13T04:02:00Z</cp:lastPrinted>
  <dcterms:modified xsi:type="dcterms:W3CDTF">2023-10-30T04:08:55Z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46DFF9D2B5BB4D4F95B78BD458A05CE8</vt:lpwstr>
  </property>
</Properties>
</file>