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0B1FB">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outlineLvl w:val="0"/>
        <w:rPr>
          <w:b/>
          <w:bCs/>
          <w:color w:val="auto"/>
          <w:sz w:val="32"/>
          <w:szCs w:val="32"/>
        </w:rPr>
      </w:pPr>
      <w:r>
        <w:rPr>
          <w:rFonts w:hint="eastAsia"/>
          <w:b/>
          <w:bCs/>
          <w:color w:val="auto"/>
          <w:sz w:val="32"/>
          <w:szCs w:val="32"/>
          <w:lang w:val="en-US" w:eastAsia="zh-CN"/>
        </w:rPr>
        <w:t>十二、</w:t>
      </w:r>
      <w:r>
        <w:rPr>
          <w:b/>
          <w:bCs/>
          <w:color w:val="auto"/>
          <w:sz w:val="32"/>
          <w:szCs w:val="32"/>
        </w:rPr>
        <w:t>事项名称：供养亲属抚恤金申领</w:t>
      </w:r>
    </w:p>
    <w:p w14:paraId="1EDB177E">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sz w:val="32"/>
          <w:szCs w:val="32"/>
        </w:rPr>
      </w:pPr>
      <w:r>
        <w:rPr>
          <w:rFonts w:hint="eastAsia" w:ascii="方正楷体_GBK" w:hAnsi="方正楷体_GBK" w:eastAsia="方正楷体_GBK" w:cs="方正楷体_GBK"/>
          <w:b/>
          <w:bCs/>
          <w:color w:val="auto"/>
          <w:sz w:val="32"/>
          <w:szCs w:val="32"/>
        </w:rPr>
        <w:t>申请对象：</w:t>
      </w:r>
      <w:r>
        <w:rPr>
          <w:color w:val="auto"/>
          <w:sz w:val="32"/>
          <w:szCs w:val="32"/>
        </w:rPr>
        <w:t>依靠因工死亡人员生前提供主要生活来源，并有下列情形之一的工亡人员参保单位或其供养亲属：1.完全丧失劳动能力的；2.配偶男年满60周岁、女年满 55周岁的；3.父母男年满60周岁、女年满55周岁的；4.子女未满18周岁的；5.父母均已死亡，其祖父、外祖父年满60周岁，祖母、外祖母年满55周岁的；6.子女已经死亡或完全丧失劳动能力，其孙子女、外孙子女未满18周岁的</w:t>
      </w:r>
      <w:r>
        <w:rPr>
          <w:rFonts w:hint="eastAsia" w:eastAsia="宋体"/>
          <w:color w:val="auto"/>
          <w:sz w:val="32"/>
          <w:szCs w:val="32"/>
          <w:lang w:eastAsia="zh-CN"/>
        </w:rPr>
        <w:t>；</w:t>
      </w:r>
      <w:r>
        <w:rPr>
          <w:rFonts w:hint="eastAsia" w:eastAsia="宋体"/>
          <w:color w:val="auto"/>
          <w:sz w:val="32"/>
          <w:szCs w:val="32"/>
          <w:lang w:val="en-US" w:eastAsia="zh-CN"/>
        </w:rPr>
        <w:t>7.</w:t>
      </w:r>
      <w:r>
        <w:rPr>
          <w:color w:val="auto"/>
          <w:sz w:val="32"/>
          <w:szCs w:val="32"/>
        </w:rPr>
        <w:t>子女已经死亡或完全丧失劳动能力，其兄弟姐妹未满18周岁的。</w:t>
      </w:r>
    </w:p>
    <w:p w14:paraId="0FFDCD48">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rPr>
        <w:t>办理方式：</w:t>
      </w:r>
    </w:p>
    <w:p w14:paraId="23E34BC3">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sz w:val="32"/>
          <w:szCs w:val="32"/>
        </w:rPr>
      </w:pPr>
      <w:r>
        <w:rPr>
          <w:b/>
          <w:bCs/>
          <w:color w:val="auto"/>
          <w:sz w:val="32"/>
          <w:szCs w:val="32"/>
        </w:rPr>
        <w:t>网上办：</w:t>
      </w:r>
      <w:r>
        <w:rPr>
          <w:color w:val="auto"/>
          <w:sz w:val="32"/>
          <w:szCs w:val="32"/>
        </w:rPr>
        <w:t xml:space="preserve">1.新疆政务服务网（ </w:t>
      </w:r>
      <w:r>
        <w:rPr>
          <w:color w:val="auto"/>
          <w:sz w:val="32"/>
          <w:szCs w:val="32"/>
        </w:rPr>
        <w:fldChar w:fldCharType="begin"/>
      </w:r>
      <w:r>
        <w:rPr>
          <w:color w:val="auto"/>
          <w:sz w:val="32"/>
          <w:szCs w:val="32"/>
        </w:rPr>
        <w:instrText xml:space="preserve"> HYPERLINK "https://zwfw.xinjiang.gov.cn/" </w:instrText>
      </w:r>
      <w:r>
        <w:rPr>
          <w:color w:val="auto"/>
          <w:sz w:val="32"/>
          <w:szCs w:val="32"/>
        </w:rPr>
        <w:fldChar w:fldCharType="separate"/>
      </w:r>
      <w:r>
        <w:rPr>
          <w:color w:val="auto"/>
          <w:sz w:val="32"/>
          <w:szCs w:val="32"/>
        </w:rPr>
        <w:t>https://zwfw.xinjiang.gov.cn/</w:t>
      </w:r>
      <w:r>
        <w:rPr>
          <w:color w:val="auto"/>
          <w:sz w:val="32"/>
          <w:szCs w:val="32"/>
        </w:rPr>
        <w:fldChar w:fldCharType="end"/>
      </w:r>
      <w:r>
        <w:rPr>
          <w:color w:val="auto"/>
          <w:sz w:val="32"/>
          <w:szCs w:val="32"/>
        </w:rPr>
        <w:t>）；</w:t>
      </w:r>
    </w:p>
    <w:p w14:paraId="7D65C7AF">
      <w:pPr>
        <w:keepNext w:val="0"/>
        <w:keepLines w:val="0"/>
        <w:pageBreakBefore w:val="0"/>
        <w:widowControl w:val="0"/>
        <w:kinsoku/>
        <w:wordWrap/>
        <w:overflowPunct/>
        <w:topLinePunct/>
        <w:autoSpaceDE w:val="0"/>
        <w:autoSpaceDN w:val="0"/>
        <w:bidi w:val="0"/>
        <w:adjustRightInd w:val="0"/>
        <w:snapToGrid w:val="0"/>
        <w:spacing w:line="500" w:lineRule="exact"/>
        <w:ind w:firstLine="1280" w:firstLineChars="400"/>
        <w:jc w:val="left"/>
        <w:textAlignment w:val="baseline"/>
        <w:rPr>
          <w:color w:val="auto"/>
          <w:sz w:val="32"/>
          <w:szCs w:val="32"/>
        </w:rPr>
      </w:pPr>
      <w:r>
        <w:rPr>
          <w:color w:val="auto"/>
          <w:sz w:val="32"/>
          <w:szCs w:val="32"/>
        </w:rPr>
        <w:t>2.新疆人社公共服务平台（https://</w:t>
      </w:r>
      <w:r>
        <w:rPr>
          <w:color w:val="auto"/>
          <w:sz w:val="32"/>
          <w:szCs w:val="32"/>
        </w:rPr>
        <w:fldChar w:fldCharType="begin"/>
      </w:r>
      <w:r>
        <w:rPr>
          <w:color w:val="auto"/>
          <w:sz w:val="32"/>
          <w:szCs w:val="32"/>
        </w:rPr>
        <w:instrText xml:space="preserve"> HYPERLINK "222.82.215.217" </w:instrText>
      </w:r>
      <w:r>
        <w:rPr>
          <w:color w:val="auto"/>
          <w:sz w:val="32"/>
          <w:szCs w:val="32"/>
        </w:rPr>
        <w:fldChar w:fldCharType="separate"/>
      </w:r>
      <w:r>
        <w:rPr>
          <w:color w:val="auto"/>
          <w:sz w:val="32"/>
          <w:szCs w:val="32"/>
        </w:rPr>
        <w:t>222.82.215.217</w:t>
      </w:r>
      <w:r>
        <w:rPr>
          <w:color w:val="auto"/>
          <w:sz w:val="32"/>
          <w:szCs w:val="32"/>
        </w:rPr>
        <w:fldChar w:fldCharType="end"/>
      </w:r>
      <w:r>
        <w:rPr>
          <w:color w:val="auto"/>
          <w:sz w:val="32"/>
          <w:szCs w:val="32"/>
        </w:rPr>
        <w:t>:10641）。</w:t>
      </w:r>
    </w:p>
    <w:p w14:paraId="17236DEA">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sz w:val="32"/>
          <w:szCs w:val="32"/>
        </w:rPr>
      </w:pPr>
      <w:r>
        <w:rPr>
          <w:b/>
          <w:bCs/>
          <w:color w:val="auto"/>
          <w:sz w:val="32"/>
          <w:szCs w:val="32"/>
        </w:rPr>
        <w:t>现场办：</w:t>
      </w:r>
      <w:r>
        <w:rPr>
          <w:rFonts w:hint="eastAsia"/>
          <w:color w:val="auto"/>
          <w:sz w:val="32"/>
          <w:szCs w:val="32"/>
        </w:rPr>
        <w:t>焉耆县政务服务中心E区社保综合柜员窗口</w:t>
      </w:r>
      <w:r>
        <w:rPr>
          <w:color w:val="auto"/>
          <w:sz w:val="32"/>
          <w:szCs w:val="32"/>
        </w:rPr>
        <w:t>。</w:t>
      </w:r>
    </w:p>
    <w:p w14:paraId="316A179A">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sz w:val="32"/>
          <w:szCs w:val="32"/>
        </w:rPr>
      </w:pPr>
      <w:r>
        <w:rPr>
          <w:rFonts w:hint="eastAsia" w:ascii="方正楷体_GBK" w:hAnsi="方正楷体_GBK" w:eastAsia="方正楷体_GBK" w:cs="方正楷体_GBK"/>
          <w:b/>
          <w:bCs/>
          <w:color w:val="auto"/>
          <w:sz w:val="32"/>
          <w:szCs w:val="32"/>
        </w:rPr>
        <w:t>办理材料：</w:t>
      </w:r>
      <w:r>
        <w:rPr>
          <w:color w:val="auto"/>
          <w:sz w:val="32"/>
          <w:szCs w:val="32"/>
        </w:rPr>
        <w:t>1.参保单位办理的，应提供加盖单位公章的工亡人员及其供养亲属的社会保障卡或身份证件和银行卡复印件、单位经办人的社会保障卡或其他有效身份证件原件；2.工亡人员供养亲属办理的，应提供工亡人员社会保障卡或身份证件原件、供养亲属的社会保障卡或其他有效身份证件和银行卡原件，委托他人办理的，应同时提供被委托人社会保障卡或其他有效身份证件原件；3.亲属关系证明原件（结婚证、户口簿、亲属关系公证书、出生医学证明等材料之一）；4.供养亲属填写的《社会保险经办业务证明事项告知承诺制承诺书》；5.供养亲属完全丧失劳动能力的，应提供劳动能力鉴定书原件，能通过数据共享核查到信息的免于提供；6.供养亲属是孤寡老人或孤儿的，应提供民政部门的证明原件；7.供养亲属已领取养老保险待遇的，应提供养老保险待遇领取证明原件（包含领取待遇金额信息），能通过数据共享核查到信息的免于提供。</w:t>
      </w:r>
      <w:bookmarkStart w:id="0" w:name="_GoBack"/>
      <w:bookmarkEnd w:id="0"/>
    </w:p>
    <w:p w14:paraId="56542292">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sz w:val="32"/>
          <w:szCs w:val="32"/>
        </w:rPr>
      </w:pPr>
      <w:r>
        <w:rPr>
          <w:rFonts w:hint="eastAsia" w:ascii="方正楷体_GBK" w:hAnsi="方正楷体_GBK" w:eastAsia="方正楷体_GBK" w:cs="方正楷体_GBK"/>
          <w:b/>
          <w:bCs/>
          <w:color w:val="auto"/>
          <w:sz w:val="32"/>
          <w:szCs w:val="32"/>
        </w:rPr>
        <w:t>办理时限：</w:t>
      </w:r>
      <w:r>
        <w:rPr>
          <w:color w:val="auto"/>
          <w:sz w:val="32"/>
          <w:szCs w:val="32"/>
        </w:rPr>
        <w:t>10 个工作日反馈审核结果。</w:t>
      </w:r>
    </w:p>
    <w:p w14:paraId="66C5F5BE">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sz w:val="32"/>
          <w:szCs w:val="32"/>
        </w:rPr>
      </w:pPr>
      <w:r>
        <w:rPr>
          <w:rFonts w:hint="eastAsia" w:ascii="方正楷体_GBK" w:hAnsi="方正楷体_GBK" w:eastAsia="方正楷体_GBK" w:cs="方正楷体_GBK"/>
          <w:b/>
          <w:bCs/>
          <w:color w:val="auto"/>
          <w:sz w:val="32"/>
          <w:szCs w:val="32"/>
        </w:rPr>
        <w:t>结果反馈：</w:t>
      </w:r>
      <w:r>
        <w:rPr>
          <w:color w:val="auto"/>
          <w:sz w:val="32"/>
          <w:szCs w:val="32"/>
        </w:rPr>
        <w:t xml:space="preserve">柜台现场反馈。 </w:t>
      </w:r>
    </w:p>
    <w:p w14:paraId="48EA4B96">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rFonts w:hint="eastAsia" w:eastAsia="宋体"/>
          <w:color w:val="auto"/>
          <w:sz w:val="32"/>
          <w:szCs w:val="32"/>
          <w:lang w:eastAsia="zh-CN"/>
        </w:rPr>
      </w:pPr>
      <w:r>
        <w:rPr>
          <w:rFonts w:hint="eastAsia" w:ascii="方正楷体_GBK" w:hAnsi="方正楷体_GBK" w:eastAsia="方正楷体_GBK" w:cs="方正楷体_GBK"/>
          <w:b/>
          <w:bCs/>
          <w:color w:val="auto"/>
          <w:sz w:val="32"/>
          <w:szCs w:val="32"/>
          <w:lang w:eastAsia="zh-CN"/>
        </w:rPr>
        <w:t>收费标准：</w:t>
      </w:r>
      <w:r>
        <w:rPr>
          <w:rFonts w:hint="eastAsia" w:eastAsia="宋体"/>
          <w:color w:val="auto"/>
          <w:sz w:val="32"/>
          <w:szCs w:val="32"/>
          <w:lang w:eastAsia="zh-CN"/>
        </w:rPr>
        <w:t>不收费</w:t>
      </w:r>
    </w:p>
    <w:p w14:paraId="0F14708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MGU0MzdiODE5ZjYxYTZkN2JmYWE0ZTIwNjVhODYifQ=="/>
  </w:docVars>
  <w:rsids>
    <w:rsidRoot w:val="08FC4B7C"/>
    <w:rsid w:val="08FC4B7C"/>
    <w:rsid w:val="257E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2025-09-28T06:15:00Z</dcterms:created>
  <dc:creator>Administrator</dc:creator>
  <cp:lastModifiedBy>Administrator</cp:lastModifiedBy>
  <cp:lastPrinted>2025-10-22T08:02:56Z</cp:lastPrinted>
  <dcterms:modified xsi:type="dcterms:W3CDTF">2025-10-22T08:04:07Z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95E6E03BBB584FB0BC7E28AE17522643_11</vt:lpwstr>
  </property>
</Properties>
</file>