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D08FC">
      <w:pPr>
        <w:pageBreakBefore w:val="0"/>
        <w:widowControl/>
        <w:wordWrap/>
        <w:topLinePunct w:val="0"/>
        <w:bidi w:val="0"/>
        <w:spacing w:line="580" w:lineRule="exact"/>
        <w:jc w:val="center"/>
        <w:rPr>
          <w:rFonts w:hint="eastAsia" w:ascii="宋体" w:hAnsi="宋体" w:eastAsia="宋体" w:cs="宋体"/>
          <w:b/>
          <w:bCs/>
          <w:color w:val="000000"/>
          <w:kern w:val="0"/>
          <w:sz w:val="28"/>
          <w:szCs w:val="28"/>
          <w:highlight w:val="yellow"/>
          <w:lang w:bidi="ar"/>
        </w:rPr>
      </w:pPr>
    </w:p>
    <w:p w14:paraId="274F8FA6">
      <w:pPr>
        <w:pageBreakBefore w:val="0"/>
        <w:widowControl/>
        <w:wordWrap/>
        <w:topLinePunct w:val="0"/>
        <w:bidi w:val="0"/>
        <w:spacing w:line="580" w:lineRule="exact"/>
        <w:jc w:val="center"/>
        <w:rPr>
          <w:rFonts w:hint="eastAsia" w:ascii="宋体" w:hAnsi="宋体" w:eastAsia="宋体" w:cs="宋体"/>
          <w:b/>
          <w:bCs/>
          <w:color w:val="000000"/>
          <w:kern w:val="0"/>
          <w:sz w:val="28"/>
          <w:szCs w:val="28"/>
          <w:highlight w:val="yellow"/>
          <w:lang w:bidi="ar"/>
        </w:rPr>
      </w:pPr>
    </w:p>
    <w:p w14:paraId="32972E2D">
      <w:pPr>
        <w:pageBreakBefore w:val="0"/>
        <w:widowControl/>
        <w:wordWrap/>
        <w:topLinePunct w:val="0"/>
        <w:bidi w:val="0"/>
        <w:spacing w:line="580" w:lineRule="exact"/>
        <w:jc w:val="center"/>
        <w:rPr>
          <w:rFonts w:hint="eastAsia" w:ascii="宋体" w:hAnsi="宋体" w:eastAsia="宋体" w:cs="宋体"/>
          <w:b/>
          <w:bCs/>
          <w:color w:val="000000"/>
          <w:kern w:val="0"/>
          <w:sz w:val="28"/>
          <w:szCs w:val="28"/>
          <w:highlight w:val="yellow"/>
          <w:lang w:bidi="ar"/>
        </w:rPr>
      </w:pPr>
    </w:p>
    <w:p w14:paraId="081F4D2E">
      <w:pPr>
        <w:pageBreakBefore w:val="0"/>
        <w:widowControl/>
        <w:wordWrap/>
        <w:topLinePunct w:val="0"/>
        <w:bidi w:val="0"/>
        <w:spacing w:line="580" w:lineRule="exact"/>
        <w:jc w:val="center"/>
        <w:rPr>
          <w:rFonts w:hint="eastAsia" w:ascii="宋体" w:hAnsi="宋体" w:eastAsia="宋体" w:cs="宋体"/>
          <w:b/>
          <w:bCs/>
          <w:color w:val="000000"/>
          <w:kern w:val="0"/>
          <w:sz w:val="28"/>
          <w:szCs w:val="28"/>
          <w:highlight w:val="yellow"/>
          <w:lang w:bidi="ar"/>
        </w:rPr>
      </w:pPr>
    </w:p>
    <w:p w14:paraId="1A05CFAA">
      <w:pPr>
        <w:pageBreakBefore w:val="0"/>
        <w:widowControl/>
        <w:wordWrap/>
        <w:topLinePunct w:val="0"/>
        <w:bidi w:val="0"/>
        <w:spacing w:line="580" w:lineRule="exact"/>
        <w:jc w:val="center"/>
        <w:rPr>
          <w:rFonts w:hint="eastAsia" w:ascii="宋体" w:hAnsi="宋体" w:eastAsia="宋体" w:cs="宋体"/>
          <w:b/>
          <w:bCs/>
          <w:color w:val="000000"/>
          <w:kern w:val="0"/>
          <w:sz w:val="28"/>
          <w:szCs w:val="28"/>
          <w:highlight w:val="yellow"/>
          <w:lang w:bidi="ar"/>
        </w:rPr>
      </w:pPr>
    </w:p>
    <w:p w14:paraId="50583BBD">
      <w:pPr>
        <w:pageBreakBefore w:val="0"/>
        <w:widowControl/>
        <w:wordWrap/>
        <w:topLinePunct w:val="0"/>
        <w:bidi w:val="0"/>
        <w:spacing w:line="580" w:lineRule="exact"/>
        <w:jc w:val="center"/>
        <w:rPr>
          <w:rFonts w:hint="eastAsia" w:ascii="宋体" w:hAnsi="宋体" w:eastAsia="宋体" w:cs="宋体"/>
          <w:b/>
          <w:bCs/>
          <w:sz w:val="48"/>
          <w:szCs w:val="48"/>
        </w:rPr>
      </w:pPr>
      <w:r>
        <w:rPr>
          <w:rFonts w:hint="eastAsia" w:ascii="宋体" w:hAnsi="宋体" w:eastAsia="宋体" w:cs="宋体"/>
          <w:b/>
          <w:bCs/>
          <w:color w:val="000000"/>
          <w:kern w:val="0"/>
          <w:sz w:val="48"/>
          <w:szCs w:val="48"/>
          <w:lang w:bidi="ar"/>
        </w:rPr>
        <w:t>《</w:t>
      </w:r>
      <w:r>
        <w:rPr>
          <w:rFonts w:hint="eastAsia" w:ascii="宋体" w:hAnsi="宋体" w:eastAsia="宋体" w:cs="宋体"/>
          <w:b/>
          <w:bCs/>
          <w:sz w:val="48"/>
          <w:szCs w:val="48"/>
        </w:rPr>
        <w:t>焉耆县疆南城乡投资建设有限责任公司</w:t>
      </w:r>
    </w:p>
    <w:p w14:paraId="54C83C10">
      <w:pPr>
        <w:pageBreakBefore w:val="0"/>
        <w:widowControl/>
        <w:wordWrap/>
        <w:topLinePunct w:val="0"/>
        <w:bidi w:val="0"/>
        <w:spacing w:line="580" w:lineRule="exact"/>
        <w:jc w:val="center"/>
        <w:rPr>
          <w:rFonts w:hint="eastAsia" w:ascii="宋体" w:hAnsi="宋体" w:eastAsia="宋体" w:cs="宋体"/>
          <w:b/>
          <w:bCs/>
          <w:sz w:val="48"/>
          <w:szCs w:val="48"/>
        </w:rPr>
      </w:pPr>
      <w:r>
        <w:rPr>
          <w:rFonts w:hint="eastAsia" w:ascii="宋体" w:hAnsi="宋体" w:eastAsia="宋体" w:cs="宋体"/>
          <w:b/>
          <w:bCs/>
          <w:sz w:val="48"/>
          <w:szCs w:val="48"/>
        </w:rPr>
        <w:t>焉耆县建筑用砂27号矿</w:t>
      </w:r>
    </w:p>
    <w:p w14:paraId="6D24BDBD">
      <w:pPr>
        <w:pageBreakBefore w:val="0"/>
        <w:widowControl/>
        <w:wordWrap/>
        <w:topLinePunct w:val="0"/>
        <w:bidi w:val="0"/>
        <w:spacing w:line="580" w:lineRule="exact"/>
        <w:jc w:val="center"/>
        <w:rPr>
          <w:rFonts w:hint="eastAsia" w:ascii="宋体" w:hAnsi="宋体" w:eastAsia="宋体" w:cs="宋体"/>
          <w:b/>
          <w:bCs/>
          <w:color w:val="000000"/>
          <w:kern w:val="0"/>
          <w:sz w:val="48"/>
          <w:szCs w:val="48"/>
          <w:lang w:bidi="ar"/>
        </w:rPr>
      </w:pPr>
      <w:r>
        <w:rPr>
          <w:rFonts w:hint="eastAsia" w:ascii="宋体" w:hAnsi="宋体" w:eastAsia="宋体" w:cs="宋体"/>
          <w:b/>
          <w:bCs/>
          <w:sz w:val="48"/>
          <w:szCs w:val="48"/>
        </w:rPr>
        <w:t>矿区生态修复方案</w:t>
      </w:r>
      <w:r>
        <w:rPr>
          <w:rFonts w:hint="eastAsia" w:ascii="宋体" w:hAnsi="宋体" w:eastAsia="宋体" w:cs="宋体"/>
          <w:b/>
          <w:bCs/>
          <w:color w:val="000000"/>
          <w:kern w:val="0"/>
          <w:sz w:val="48"/>
          <w:szCs w:val="48"/>
          <w:lang w:bidi="ar"/>
        </w:rPr>
        <w:t>》</w:t>
      </w:r>
    </w:p>
    <w:p w14:paraId="3F8A1A08">
      <w:pPr>
        <w:pageBreakBefore w:val="0"/>
        <w:widowControl/>
        <w:wordWrap/>
        <w:topLinePunct w:val="0"/>
        <w:bidi w:val="0"/>
        <w:spacing w:line="580" w:lineRule="exact"/>
        <w:jc w:val="center"/>
        <w:rPr>
          <w:rFonts w:hint="eastAsia" w:ascii="宋体" w:hAnsi="宋体" w:eastAsia="宋体" w:cs="宋体"/>
          <w:b/>
          <w:bCs/>
          <w:color w:val="000000"/>
          <w:kern w:val="0"/>
          <w:sz w:val="28"/>
          <w:szCs w:val="28"/>
          <w:lang w:val="en-US" w:eastAsia="zh-CN" w:bidi="ar"/>
        </w:rPr>
      </w:pPr>
    </w:p>
    <w:p w14:paraId="754DF898">
      <w:pPr>
        <w:pageBreakBefore w:val="0"/>
        <w:widowControl/>
        <w:wordWrap/>
        <w:topLinePunct w:val="0"/>
        <w:bidi w:val="0"/>
        <w:spacing w:line="580" w:lineRule="exact"/>
        <w:jc w:val="center"/>
        <w:rPr>
          <w:rFonts w:hint="eastAsia" w:ascii="宋体" w:hAnsi="宋体" w:eastAsia="宋体" w:cs="宋体"/>
          <w:b/>
          <w:bCs/>
          <w:color w:val="000000"/>
          <w:kern w:val="0"/>
          <w:sz w:val="28"/>
          <w:szCs w:val="28"/>
          <w:lang w:val="en-US" w:eastAsia="zh-CN" w:bidi="ar"/>
        </w:rPr>
      </w:pPr>
    </w:p>
    <w:p w14:paraId="73473B99">
      <w:pPr>
        <w:pageBreakBefore w:val="0"/>
        <w:widowControl/>
        <w:wordWrap/>
        <w:topLinePunct w:val="0"/>
        <w:bidi w:val="0"/>
        <w:spacing w:line="580" w:lineRule="exact"/>
        <w:jc w:val="center"/>
        <w:rPr>
          <w:rFonts w:hint="eastAsia" w:ascii="宋体" w:hAnsi="宋体" w:eastAsia="宋体" w:cs="宋体"/>
          <w:b/>
          <w:bCs/>
          <w:color w:val="000000"/>
          <w:kern w:val="0"/>
          <w:sz w:val="28"/>
          <w:szCs w:val="28"/>
          <w:lang w:val="en-US" w:eastAsia="zh-CN" w:bidi="ar"/>
        </w:rPr>
      </w:pPr>
    </w:p>
    <w:p w14:paraId="6858EB53">
      <w:pPr>
        <w:pageBreakBefore w:val="0"/>
        <w:widowControl/>
        <w:wordWrap/>
        <w:topLinePunct w:val="0"/>
        <w:bidi w:val="0"/>
        <w:spacing w:line="580" w:lineRule="exact"/>
        <w:jc w:val="center"/>
        <w:rPr>
          <w:rFonts w:hint="eastAsia" w:ascii="宋体" w:hAnsi="宋体" w:eastAsia="宋体" w:cs="宋体"/>
          <w:b/>
          <w:bCs/>
          <w:color w:val="000000"/>
          <w:kern w:val="0"/>
          <w:sz w:val="28"/>
          <w:szCs w:val="28"/>
          <w:lang w:val="en-US" w:eastAsia="zh-CN" w:bidi="ar"/>
        </w:rPr>
      </w:pPr>
    </w:p>
    <w:p w14:paraId="6D14E7E0">
      <w:pPr>
        <w:pageBreakBefore w:val="0"/>
        <w:widowControl/>
        <w:wordWrap/>
        <w:topLinePunct w:val="0"/>
        <w:bidi w:val="0"/>
        <w:spacing w:line="580" w:lineRule="exact"/>
        <w:jc w:val="center"/>
        <w:rPr>
          <w:rFonts w:hint="eastAsia" w:ascii="宋体" w:hAnsi="宋体" w:eastAsia="宋体" w:cs="宋体"/>
          <w:b/>
          <w:bCs/>
          <w:color w:val="000000"/>
          <w:kern w:val="0"/>
          <w:sz w:val="28"/>
          <w:szCs w:val="28"/>
          <w:lang w:val="en-US" w:eastAsia="zh-CN" w:bidi="ar"/>
        </w:rPr>
      </w:pPr>
    </w:p>
    <w:p w14:paraId="34D99133">
      <w:pPr>
        <w:pageBreakBefore w:val="0"/>
        <w:widowControl/>
        <w:wordWrap/>
        <w:topLinePunct w:val="0"/>
        <w:bidi w:val="0"/>
        <w:spacing w:line="580" w:lineRule="exact"/>
        <w:jc w:val="center"/>
        <w:rPr>
          <w:rFonts w:hint="eastAsia" w:ascii="宋体" w:hAnsi="宋体" w:eastAsia="宋体" w:cs="宋体"/>
          <w:b/>
          <w:bCs/>
          <w:color w:val="000000"/>
          <w:kern w:val="0"/>
          <w:sz w:val="48"/>
          <w:szCs w:val="48"/>
          <w:lang w:val="en-US" w:eastAsia="zh-CN" w:bidi="ar"/>
        </w:rPr>
      </w:pPr>
      <w:r>
        <w:rPr>
          <w:rFonts w:hint="eastAsia" w:ascii="宋体" w:hAnsi="宋体" w:eastAsia="宋体" w:cs="宋体"/>
          <w:b/>
          <w:bCs/>
          <w:color w:val="000000"/>
          <w:kern w:val="0"/>
          <w:sz w:val="48"/>
          <w:szCs w:val="48"/>
          <w:lang w:val="en-US" w:eastAsia="zh-CN" w:bidi="ar"/>
        </w:rPr>
        <w:t>评审意见书</w:t>
      </w:r>
    </w:p>
    <w:p w14:paraId="3F19F77D">
      <w:pPr>
        <w:pageBreakBefore w:val="0"/>
        <w:widowControl/>
        <w:wordWrap/>
        <w:topLinePunct w:val="0"/>
        <w:bidi w:val="0"/>
        <w:spacing w:line="580" w:lineRule="exact"/>
        <w:jc w:val="center"/>
        <w:rPr>
          <w:rFonts w:hint="eastAsia" w:ascii="宋体" w:hAnsi="宋体" w:eastAsia="宋体" w:cs="宋体"/>
          <w:b/>
          <w:bCs/>
          <w:color w:val="000000"/>
          <w:kern w:val="0"/>
          <w:sz w:val="28"/>
          <w:szCs w:val="28"/>
          <w:highlight w:val="yellow"/>
          <w:lang w:bidi="ar"/>
        </w:rPr>
      </w:pPr>
    </w:p>
    <w:p w14:paraId="398696C1">
      <w:pPr>
        <w:pageBreakBefore w:val="0"/>
        <w:widowControl/>
        <w:wordWrap/>
        <w:topLinePunct w:val="0"/>
        <w:bidi w:val="0"/>
        <w:spacing w:line="580" w:lineRule="exact"/>
        <w:jc w:val="center"/>
        <w:rPr>
          <w:rFonts w:hint="eastAsia" w:ascii="宋体" w:hAnsi="宋体" w:eastAsia="宋体" w:cs="宋体"/>
          <w:color w:val="000000"/>
          <w:kern w:val="0"/>
          <w:sz w:val="28"/>
          <w:szCs w:val="28"/>
          <w:lang w:bidi="ar"/>
        </w:rPr>
      </w:pPr>
      <w:r>
        <w:rPr>
          <w:rFonts w:hint="eastAsia" w:ascii="宋体" w:hAnsi="宋体" w:eastAsia="宋体" w:cs="宋体"/>
          <w:sz w:val="28"/>
          <w:szCs w:val="28"/>
          <w:lang w:val="en-US" w:eastAsia="zh-CN"/>
        </w:rPr>
        <w:t>焉耆</w:t>
      </w:r>
      <w:r>
        <w:rPr>
          <w:rFonts w:hint="eastAsia" w:ascii="宋体" w:hAnsi="宋体" w:eastAsia="宋体" w:cs="宋体"/>
          <w:sz w:val="28"/>
          <w:szCs w:val="28"/>
        </w:rPr>
        <w:t>矿</w:t>
      </w:r>
      <w:r>
        <w:rPr>
          <w:rFonts w:hint="eastAsia" w:ascii="宋体" w:hAnsi="宋体" w:eastAsia="宋体" w:cs="宋体"/>
          <w:sz w:val="28"/>
          <w:szCs w:val="28"/>
          <w:lang w:val="en-US" w:eastAsia="zh-CN"/>
        </w:rPr>
        <w:t>生态</w:t>
      </w:r>
      <w:r>
        <w:rPr>
          <w:rFonts w:hint="eastAsia" w:ascii="宋体" w:hAnsi="宋体" w:eastAsia="宋体" w:cs="宋体"/>
          <w:sz w:val="28"/>
          <w:szCs w:val="28"/>
        </w:rPr>
        <w:t>评字〔</w:t>
      </w:r>
      <w:r>
        <w:rPr>
          <w:rFonts w:hint="eastAsia" w:ascii="宋体" w:hAnsi="宋体" w:eastAsia="宋体" w:cs="宋体"/>
          <w:sz w:val="28"/>
          <w:szCs w:val="28"/>
          <w:lang w:val="en-US" w:eastAsia="zh-CN"/>
        </w:rPr>
        <w:t>2026</w:t>
      </w:r>
      <w:r>
        <w:rPr>
          <w:rFonts w:hint="eastAsia" w:ascii="宋体" w:hAnsi="宋体" w:eastAsia="宋体" w:cs="宋体"/>
          <w:sz w:val="28"/>
          <w:szCs w:val="28"/>
        </w:rPr>
        <w:t>〕</w:t>
      </w:r>
      <w:r>
        <w:rPr>
          <w:rFonts w:hint="eastAsia" w:ascii="宋体" w:hAnsi="宋体" w:eastAsia="宋体" w:cs="宋体"/>
          <w:sz w:val="28"/>
          <w:szCs w:val="28"/>
          <w:lang w:val="en-US" w:eastAsia="zh-CN"/>
        </w:rPr>
        <w:t>01</w:t>
      </w:r>
      <w:r>
        <w:rPr>
          <w:rFonts w:hint="eastAsia" w:ascii="宋体" w:hAnsi="宋体" w:eastAsia="宋体" w:cs="宋体"/>
          <w:sz w:val="28"/>
          <w:szCs w:val="28"/>
        </w:rPr>
        <w:t>号</w:t>
      </w:r>
    </w:p>
    <w:p w14:paraId="77B4C049">
      <w:pPr>
        <w:pStyle w:val="14"/>
        <w:pageBreakBefore w:val="0"/>
        <w:wordWrap/>
        <w:topLinePunct w:val="0"/>
        <w:bidi w:val="0"/>
        <w:spacing w:line="580" w:lineRule="exact"/>
        <w:rPr>
          <w:rFonts w:hint="eastAsia" w:ascii="宋体" w:hAnsi="宋体" w:eastAsia="宋体" w:cs="宋体"/>
          <w:color w:val="000000"/>
          <w:kern w:val="0"/>
          <w:sz w:val="28"/>
          <w:szCs w:val="28"/>
          <w:lang w:bidi="ar"/>
        </w:rPr>
      </w:pPr>
    </w:p>
    <w:p w14:paraId="663D0916">
      <w:pPr>
        <w:pStyle w:val="14"/>
        <w:pageBreakBefore w:val="0"/>
        <w:wordWrap/>
        <w:topLinePunct w:val="0"/>
        <w:bidi w:val="0"/>
        <w:spacing w:line="580" w:lineRule="exact"/>
        <w:rPr>
          <w:rFonts w:hint="eastAsia" w:ascii="宋体" w:hAnsi="宋体" w:eastAsia="宋体" w:cs="宋体"/>
          <w:color w:val="000000"/>
          <w:kern w:val="0"/>
          <w:sz w:val="28"/>
          <w:szCs w:val="28"/>
          <w:lang w:bidi="ar"/>
        </w:rPr>
      </w:pPr>
    </w:p>
    <w:p w14:paraId="0135B037">
      <w:pPr>
        <w:pStyle w:val="14"/>
        <w:pageBreakBefore w:val="0"/>
        <w:wordWrap/>
        <w:topLinePunct w:val="0"/>
        <w:bidi w:val="0"/>
        <w:spacing w:line="580" w:lineRule="exact"/>
        <w:rPr>
          <w:rFonts w:hint="eastAsia" w:ascii="宋体" w:hAnsi="宋体" w:eastAsia="宋体" w:cs="宋体"/>
          <w:color w:val="000000"/>
          <w:kern w:val="0"/>
          <w:sz w:val="28"/>
          <w:szCs w:val="28"/>
          <w:lang w:bidi="ar"/>
        </w:rPr>
      </w:pPr>
    </w:p>
    <w:p w14:paraId="60648732">
      <w:pPr>
        <w:pStyle w:val="14"/>
        <w:pageBreakBefore w:val="0"/>
        <w:wordWrap/>
        <w:topLinePunct w:val="0"/>
        <w:bidi w:val="0"/>
        <w:spacing w:line="580" w:lineRule="exact"/>
        <w:rPr>
          <w:rFonts w:hint="eastAsia" w:ascii="宋体" w:hAnsi="宋体" w:eastAsia="宋体" w:cs="宋体"/>
          <w:color w:val="000000"/>
          <w:kern w:val="0"/>
          <w:sz w:val="28"/>
          <w:szCs w:val="28"/>
          <w:lang w:bidi="ar"/>
        </w:rPr>
      </w:pPr>
    </w:p>
    <w:p w14:paraId="74C7E27C">
      <w:pPr>
        <w:pStyle w:val="14"/>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宋体" w:hAnsi="宋体" w:eastAsia="宋体" w:cs="宋体"/>
          <w:color w:val="000000"/>
          <w:kern w:val="0"/>
          <w:sz w:val="28"/>
          <w:szCs w:val="28"/>
          <w:lang w:bidi="ar"/>
        </w:rPr>
      </w:pPr>
    </w:p>
    <w:p w14:paraId="55D58D9B">
      <w:pPr>
        <w:pStyle w:val="14"/>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焉耆县自然资源局</w:t>
      </w:r>
    </w:p>
    <w:p w14:paraId="37B145B0">
      <w:pPr>
        <w:pStyle w:val="14"/>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202</w:t>
      </w:r>
      <w:r>
        <w:rPr>
          <w:rFonts w:hint="eastAsia" w:ascii="宋体" w:hAnsi="宋体" w:eastAsia="宋体" w:cs="宋体"/>
          <w:color w:val="000000"/>
          <w:kern w:val="0"/>
          <w:sz w:val="28"/>
          <w:szCs w:val="28"/>
          <w:lang w:val="en-US" w:eastAsia="zh-CN" w:bidi="ar"/>
        </w:rPr>
        <w:t>6</w:t>
      </w:r>
      <w:r>
        <w:rPr>
          <w:rFonts w:hint="eastAsia" w:ascii="宋体" w:hAnsi="宋体" w:eastAsia="宋体" w:cs="宋体"/>
          <w:color w:val="000000"/>
          <w:kern w:val="0"/>
          <w:sz w:val="28"/>
          <w:szCs w:val="28"/>
          <w:lang w:bidi="ar"/>
        </w:rPr>
        <w:t>年</w:t>
      </w:r>
      <w:r>
        <w:rPr>
          <w:rFonts w:hint="eastAsia" w:ascii="宋体" w:hAnsi="宋体" w:eastAsia="宋体" w:cs="宋体"/>
          <w:color w:val="000000"/>
          <w:kern w:val="0"/>
          <w:sz w:val="28"/>
          <w:szCs w:val="28"/>
          <w:lang w:val="en-US" w:eastAsia="zh-CN" w:bidi="ar"/>
        </w:rPr>
        <w:t>9</w:t>
      </w:r>
      <w:r>
        <w:rPr>
          <w:rFonts w:hint="eastAsia" w:ascii="宋体" w:hAnsi="宋体" w:eastAsia="宋体" w:cs="宋体"/>
          <w:color w:val="000000"/>
          <w:kern w:val="0"/>
          <w:sz w:val="28"/>
          <w:szCs w:val="28"/>
          <w:lang w:bidi="ar"/>
        </w:rPr>
        <w:t>月</w:t>
      </w:r>
      <w:r>
        <w:rPr>
          <w:rFonts w:hint="eastAsia" w:ascii="宋体" w:hAnsi="宋体" w:eastAsia="宋体" w:cs="宋体"/>
          <w:color w:val="000000"/>
          <w:kern w:val="0"/>
          <w:sz w:val="28"/>
          <w:szCs w:val="28"/>
          <w:lang w:val="en-US" w:eastAsia="zh-CN" w:bidi="ar"/>
        </w:rPr>
        <w:t>11</w:t>
      </w:r>
      <w:r>
        <w:rPr>
          <w:rFonts w:hint="eastAsia" w:ascii="宋体" w:hAnsi="宋体" w:eastAsia="宋体" w:cs="宋体"/>
          <w:color w:val="000000"/>
          <w:kern w:val="0"/>
          <w:sz w:val="28"/>
          <w:szCs w:val="28"/>
          <w:lang w:bidi="ar"/>
        </w:rPr>
        <w:t>日</w:t>
      </w:r>
    </w:p>
    <w:p w14:paraId="1E23574A">
      <w:pPr>
        <w:pStyle w:val="14"/>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宋体" w:hAnsi="宋体" w:eastAsia="宋体" w:cs="宋体"/>
          <w:color w:val="000000"/>
          <w:kern w:val="0"/>
          <w:sz w:val="28"/>
          <w:szCs w:val="28"/>
          <w:lang w:bidi="ar"/>
        </w:rPr>
      </w:pPr>
    </w:p>
    <w:p w14:paraId="295C58E7">
      <w:pPr>
        <w:pStyle w:val="14"/>
        <w:pageBreakBefore w:val="0"/>
        <w:wordWrap/>
        <w:topLinePunct w:val="0"/>
        <w:bidi w:val="0"/>
        <w:spacing w:line="580" w:lineRule="exact"/>
        <w:rPr>
          <w:rFonts w:hint="eastAsia" w:ascii="宋体" w:hAnsi="宋体" w:eastAsia="宋体" w:cs="宋体"/>
          <w:color w:val="000000"/>
          <w:kern w:val="0"/>
          <w:sz w:val="28"/>
          <w:szCs w:val="28"/>
          <w:lang w:bidi="ar"/>
        </w:rPr>
      </w:pPr>
    </w:p>
    <w:p w14:paraId="1800C8C2">
      <w:pPr>
        <w:pStyle w:val="14"/>
        <w:pageBreakBefore w:val="0"/>
        <w:wordWrap/>
        <w:topLinePunct w:val="0"/>
        <w:bidi w:val="0"/>
        <w:spacing w:line="580" w:lineRule="exact"/>
        <w:rPr>
          <w:rFonts w:hint="eastAsia" w:ascii="宋体" w:hAnsi="宋体" w:eastAsia="宋体" w:cs="宋体"/>
          <w:color w:val="000000"/>
          <w:kern w:val="0"/>
          <w:sz w:val="28"/>
          <w:szCs w:val="28"/>
          <w:lang w:bidi="ar"/>
        </w:rPr>
      </w:pPr>
    </w:p>
    <w:tbl>
      <w:tblPr>
        <w:tblStyle w:val="9"/>
        <w:tblW w:w="9232" w:type="dxa"/>
        <w:tblInd w:w="0" w:type="dxa"/>
        <w:tblLayout w:type="fixed"/>
        <w:tblCellMar>
          <w:top w:w="0" w:type="dxa"/>
          <w:left w:w="108" w:type="dxa"/>
          <w:bottom w:w="0" w:type="dxa"/>
          <w:right w:w="108" w:type="dxa"/>
        </w:tblCellMar>
      </w:tblPr>
      <w:tblGrid>
        <w:gridCol w:w="2076"/>
        <w:gridCol w:w="240"/>
        <w:gridCol w:w="6916"/>
      </w:tblGrid>
      <w:tr w14:paraId="4DCF922D">
        <w:tblPrEx>
          <w:tblCellMar>
            <w:top w:w="0" w:type="dxa"/>
            <w:left w:w="108" w:type="dxa"/>
            <w:bottom w:w="0" w:type="dxa"/>
            <w:right w:w="108" w:type="dxa"/>
          </w:tblCellMar>
        </w:tblPrEx>
        <w:trPr>
          <w:cantSplit/>
          <w:trHeight w:val="567" w:hRule="exact"/>
        </w:trPr>
        <w:tc>
          <w:tcPr>
            <w:tcW w:w="2076" w:type="dxa"/>
            <w:vAlign w:val="center"/>
          </w:tcPr>
          <w:p w14:paraId="7D5603B7">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pacing w:val="266"/>
                <w:kern w:val="0"/>
                <w:sz w:val="28"/>
                <w:szCs w:val="28"/>
                <w:fitText w:val="1920" w:id="1857684797"/>
              </w:rPr>
              <w:t>申请单</w:t>
            </w:r>
            <w:r>
              <w:rPr>
                <w:rFonts w:hint="eastAsia" w:ascii="宋体" w:hAnsi="宋体" w:eastAsia="宋体" w:cs="宋体"/>
                <w:snapToGrid w:val="0"/>
                <w:spacing w:val="2"/>
                <w:kern w:val="0"/>
                <w:sz w:val="28"/>
                <w:szCs w:val="28"/>
                <w:fitText w:val="1920" w:id="1857684797"/>
              </w:rPr>
              <w:t>位</w:t>
            </w:r>
          </w:p>
        </w:tc>
        <w:tc>
          <w:tcPr>
            <w:tcW w:w="240" w:type="dxa"/>
            <w:vAlign w:val="center"/>
          </w:tcPr>
          <w:p w14:paraId="3123CA23">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rPr>
              <w:t>：</w:t>
            </w:r>
          </w:p>
        </w:tc>
        <w:tc>
          <w:tcPr>
            <w:tcW w:w="6916" w:type="dxa"/>
            <w:vAlign w:val="center"/>
          </w:tcPr>
          <w:p w14:paraId="64820270">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rPr>
              <w:t>焉耆县疆南城乡投资建设有限责任公司</w:t>
            </w:r>
          </w:p>
        </w:tc>
      </w:tr>
      <w:tr w14:paraId="1A0637FE">
        <w:tblPrEx>
          <w:tblCellMar>
            <w:top w:w="0" w:type="dxa"/>
            <w:left w:w="108" w:type="dxa"/>
            <w:bottom w:w="0" w:type="dxa"/>
            <w:right w:w="108" w:type="dxa"/>
          </w:tblCellMar>
        </w:tblPrEx>
        <w:trPr>
          <w:cantSplit/>
          <w:trHeight w:val="567" w:hRule="exact"/>
        </w:trPr>
        <w:tc>
          <w:tcPr>
            <w:tcW w:w="2076" w:type="dxa"/>
            <w:vAlign w:val="center"/>
          </w:tcPr>
          <w:p w14:paraId="4D66D166">
            <w:pPr>
              <w:pageBreakBefore w:val="0"/>
              <w:wordWrap/>
              <w:topLinePunct w:val="0"/>
              <w:bidi w:val="0"/>
              <w:adjustRightInd w:val="0"/>
              <w:snapToGrid w:val="0"/>
              <w:spacing w:line="580" w:lineRule="exact"/>
              <w:rPr>
                <w:rFonts w:hint="eastAsia" w:ascii="宋体" w:hAnsi="宋体" w:eastAsia="宋体" w:cs="宋体"/>
                <w:snapToGrid w:val="0"/>
                <w:spacing w:val="1600"/>
                <w:kern w:val="0"/>
                <w:sz w:val="28"/>
                <w:szCs w:val="28"/>
              </w:rPr>
            </w:pPr>
            <w:r>
              <w:rPr>
                <w:rFonts w:hint="eastAsia" w:ascii="宋体" w:hAnsi="宋体" w:eastAsia="宋体" w:cs="宋体"/>
                <w:snapToGrid w:val="0"/>
                <w:spacing w:val="266"/>
                <w:kern w:val="0"/>
                <w:sz w:val="28"/>
                <w:szCs w:val="28"/>
                <w:fitText w:val="1920" w:id="1888445176"/>
              </w:rPr>
              <w:t>编制单</w:t>
            </w:r>
            <w:r>
              <w:rPr>
                <w:rFonts w:hint="eastAsia" w:ascii="宋体" w:hAnsi="宋体" w:eastAsia="宋体" w:cs="宋体"/>
                <w:snapToGrid w:val="0"/>
                <w:spacing w:val="2"/>
                <w:kern w:val="0"/>
                <w:sz w:val="28"/>
                <w:szCs w:val="28"/>
                <w:fitText w:val="1920" w:id="1888445176"/>
              </w:rPr>
              <w:t>位</w:t>
            </w:r>
          </w:p>
        </w:tc>
        <w:tc>
          <w:tcPr>
            <w:tcW w:w="240" w:type="dxa"/>
            <w:vAlign w:val="center"/>
          </w:tcPr>
          <w:p w14:paraId="17DCD241">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rPr>
              <w:t>：</w:t>
            </w:r>
          </w:p>
        </w:tc>
        <w:tc>
          <w:tcPr>
            <w:tcW w:w="6916" w:type="dxa"/>
            <w:vAlign w:val="center"/>
          </w:tcPr>
          <w:p w14:paraId="492B1B7D">
            <w:pPr>
              <w:pStyle w:val="7"/>
              <w:pageBreakBefore w:val="0"/>
              <w:wordWrap/>
              <w:topLinePunct w:val="0"/>
              <w:bidi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rPr>
              <w:t>乌鲁木齐</w:t>
            </w:r>
            <w:r>
              <w:rPr>
                <w:rFonts w:hint="eastAsia" w:ascii="宋体" w:hAnsi="宋体" w:eastAsia="宋体" w:cs="宋体"/>
                <w:snapToGrid w:val="0"/>
                <w:sz w:val="28"/>
                <w:szCs w:val="28"/>
                <w:lang w:val="en-US" w:eastAsia="zh-CN"/>
              </w:rPr>
              <w:t>金辉永福矿业</w:t>
            </w:r>
            <w:r>
              <w:rPr>
                <w:rFonts w:hint="eastAsia" w:ascii="宋体" w:hAnsi="宋体" w:eastAsia="宋体" w:cs="宋体"/>
                <w:snapToGrid w:val="0"/>
                <w:sz w:val="28"/>
                <w:szCs w:val="28"/>
              </w:rPr>
              <w:t>有限公司</w:t>
            </w:r>
          </w:p>
        </w:tc>
      </w:tr>
      <w:tr w14:paraId="7FE4CE8D">
        <w:tblPrEx>
          <w:tblCellMar>
            <w:top w:w="0" w:type="dxa"/>
            <w:left w:w="108" w:type="dxa"/>
            <w:bottom w:w="0" w:type="dxa"/>
            <w:right w:w="108" w:type="dxa"/>
          </w:tblCellMar>
        </w:tblPrEx>
        <w:trPr>
          <w:cantSplit/>
          <w:trHeight w:val="567" w:hRule="exact"/>
        </w:trPr>
        <w:tc>
          <w:tcPr>
            <w:tcW w:w="2076" w:type="dxa"/>
            <w:vAlign w:val="center"/>
          </w:tcPr>
          <w:p w14:paraId="0A2F4568">
            <w:pPr>
              <w:pageBreakBefore w:val="0"/>
              <w:wordWrap/>
              <w:topLinePunct w:val="0"/>
              <w:bidi w:val="0"/>
              <w:adjustRightInd w:val="0"/>
              <w:snapToGrid w:val="0"/>
              <w:spacing w:line="580" w:lineRule="exact"/>
              <w:rPr>
                <w:rFonts w:hint="eastAsia" w:ascii="宋体" w:hAnsi="宋体" w:eastAsia="宋体" w:cs="宋体"/>
                <w:snapToGrid w:val="0"/>
                <w:spacing w:val="1600"/>
                <w:kern w:val="0"/>
                <w:sz w:val="28"/>
                <w:szCs w:val="28"/>
              </w:rPr>
            </w:pPr>
            <w:r>
              <w:rPr>
                <w:rFonts w:hint="eastAsia" w:ascii="宋体" w:hAnsi="宋体" w:eastAsia="宋体" w:cs="宋体"/>
                <w:snapToGrid w:val="0"/>
                <w:spacing w:val="266"/>
                <w:kern w:val="0"/>
                <w:sz w:val="28"/>
                <w:szCs w:val="28"/>
                <w:fitText w:val="1920" w:id="1735611266"/>
              </w:rPr>
              <w:t>编制人</w:t>
            </w:r>
            <w:r>
              <w:rPr>
                <w:rFonts w:hint="eastAsia" w:ascii="宋体" w:hAnsi="宋体" w:eastAsia="宋体" w:cs="宋体"/>
                <w:snapToGrid w:val="0"/>
                <w:spacing w:val="2"/>
                <w:kern w:val="0"/>
                <w:sz w:val="28"/>
                <w:szCs w:val="28"/>
                <w:fitText w:val="1920" w:id="1735611266"/>
              </w:rPr>
              <w:t>员</w:t>
            </w:r>
          </w:p>
        </w:tc>
        <w:tc>
          <w:tcPr>
            <w:tcW w:w="240" w:type="dxa"/>
            <w:vAlign w:val="center"/>
          </w:tcPr>
          <w:p w14:paraId="090F9DF7">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rPr>
              <w:t>：</w:t>
            </w:r>
          </w:p>
        </w:tc>
        <w:tc>
          <w:tcPr>
            <w:tcW w:w="6916" w:type="dxa"/>
            <w:vAlign w:val="center"/>
          </w:tcPr>
          <w:p w14:paraId="308D4DF0">
            <w:pPr>
              <w:pStyle w:val="7"/>
              <w:pageBreakBefore w:val="0"/>
              <w:wordWrap/>
              <w:topLinePunct w:val="0"/>
              <w:bidi w:val="0"/>
              <w:spacing w:line="580" w:lineRule="exact"/>
              <w:rPr>
                <w:rFonts w:hint="eastAsia" w:ascii="宋体" w:hAnsi="宋体" w:eastAsia="宋体" w:cs="宋体"/>
                <w:sz w:val="28"/>
                <w:szCs w:val="28"/>
              </w:rPr>
            </w:pPr>
            <w:r>
              <w:rPr>
                <w:rFonts w:hint="eastAsia" w:ascii="宋体" w:hAnsi="宋体" w:eastAsia="宋体" w:cs="宋体"/>
                <w:sz w:val="28"/>
                <w:szCs w:val="28"/>
              </w:rPr>
              <w:t>虞卫东</w:t>
            </w:r>
            <w:r>
              <w:rPr>
                <w:rFonts w:hint="eastAsia" w:ascii="宋体" w:hAnsi="宋体" w:eastAsia="宋体" w:cs="宋体"/>
                <w:sz w:val="28"/>
                <w:szCs w:val="28"/>
                <w:lang w:eastAsia="zh-CN"/>
              </w:rPr>
              <w:t>、</w:t>
            </w:r>
            <w:r>
              <w:rPr>
                <w:rFonts w:hint="eastAsia" w:ascii="宋体" w:hAnsi="宋体" w:eastAsia="宋体" w:cs="宋体"/>
                <w:sz w:val="28"/>
                <w:szCs w:val="28"/>
              </w:rPr>
              <w:t>李新峰</w:t>
            </w:r>
            <w:r>
              <w:rPr>
                <w:rFonts w:hint="eastAsia" w:ascii="宋体" w:hAnsi="宋体" w:eastAsia="宋体" w:cs="宋体"/>
                <w:sz w:val="28"/>
                <w:szCs w:val="28"/>
                <w:lang w:eastAsia="zh-CN"/>
              </w:rPr>
              <w:t>、</w:t>
            </w:r>
            <w:r>
              <w:rPr>
                <w:rFonts w:hint="eastAsia" w:ascii="宋体" w:hAnsi="宋体" w:eastAsia="宋体" w:cs="宋体"/>
                <w:sz w:val="28"/>
                <w:szCs w:val="28"/>
              </w:rPr>
              <w:t>张学洲</w:t>
            </w:r>
          </w:p>
          <w:p w14:paraId="6C741019">
            <w:pPr>
              <w:pStyle w:val="7"/>
              <w:pageBreakBefore w:val="0"/>
              <w:wordWrap/>
              <w:topLinePunct w:val="0"/>
              <w:bidi w:val="0"/>
              <w:spacing w:line="580" w:lineRule="exact"/>
              <w:rPr>
                <w:rFonts w:hint="eastAsia" w:ascii="宋体" w:hAnsi="宋体" w:eastAsia="宋体" w:cs="宋体"/>
                <w:sz w:val="28"/>
                <w:szCs w:val="28"/>
              </w:rPr>
            </w:pPr>
          </w:p>
        </w:tc>
      </w:tr>
      <w:tr w14:paraId="74C34D46">
        <w:tblPrEx>
          <w:tblCellMar>
            <w:top w:w="0" w:type="dxa"/>
            <w:left w:w="108" w:type="dxa"/>
            <w:bottom w:w="0" w:type="dxa"/>
            <w:right w:w="108" w:type="dxa"/>
          </w:tblCellMar>
        </w:tblPrEx>
        <w:trPr>
          <w:cantSplit/>
          <w:trHeight w:val="567" w:hRule="exact"/>
        </w:trPr>
        <w:tc>
          <w:tcPr>
            <w:tcW w:w="2076" w:type="dxa"/>
            <w:vAlign w:val="center"/>
          </w:tcPr>
          <w:p w14:paraId="1B693421">
            <w:pPr>
              <w:pageBreakBefore w:val="0"/>
              <w:wordWrap/>
              <w:topLinePunct w:val="0"/>
              <w:bidi w:val="0"/>
              <w:adjustRightInd w:val="0"/>
              <w:snapToGrid w:val="0"/>
              <w:spacing w:line="580" w:lineRule="exact"/>
              <w:rPr>
                <w:rFonts w:hint="eastAsia" w:ascii="宋体" w:hAnsi="宋体" w:eastAsia="宋体" w:cs="宋体"/>
                <w:snapToGrid w:val="0"/>
                <w:spacing w:val="1920"/>
                <w:kern w:val="0"/>
                <w:sz w:val="28"/>
                <w:szCs w:val="28"/>
              </w:rPr>
            </w:pPr>
            <w:r>
              <w:rPr>
                <w:rFonts w:hint="eastAsia" w:ascii="宋体" w:hAnsi="宋体" w:eastAsia="宋体" w:cs="宋体"/>
                <w:snapToGrid w:val="0"/>
                <w:spacing w:val="130"/>
                <w:kern w:val="0"/>
                <w:sz w:val="28"/>
                <w:szCs w:val="28"/>
                <w:fitText w:val="1920" w:id="762385778"/>
              </w:rPr>
              <w:t>评审专家</w:t>
            </w:r>
            <w:r>
              <w:rPr>
                <w:rFonts w:hint="eastAsia" w:ascii="宋体" w:hAnsi="宋体" w:eastAsia="宋体" w:cs="宋体"/>
                <w:snapToGrid w:val="0"/>
                <w:spacing w:val="0"/>
                <w:kern w:val="0"/>
                <w:sz w:val="28"/>
                <w:szCs w:val="28"/>
                <w:fitText w:val="1920" w:id="762385778"/>
              </w:rPr>
              <w:t>组</w:t>
            </w:r>
          </w:p>
        </w:tc>
        <w:tc>
          <w:tcPr>
            <w:tcW w:w="240" w:type="dxa"/>
            <w:vAlign w:val="center"/>
          </w:tcPr>
          <w:p w14:paraId="386BF763">
            <w:pPr>
              <w:pageBreakBefore w:val="0"/>
              <w:wordWrap/>
              <w:topLinePunct w:val="0"/>
              <w:bidi w:val="0"/>
              <w:adjustRightInd w:val="0"/>
              <w:snapToGrid w:val="0"/>
              <w:spacing w:line="580" w:lineRule="exact"/>
              <w:rPr>
                <w:rFonts w:hint="eastAsia" w:ascii="宋体" w:hAnsi="宋体" w:eastAsia="宋体" w:cs="宋体"/>
                <w:snapToGrid w:val="0"/>
                <w:sz w:val="28"/>
                <w:szCs w:val="28"/>
              </w:rPr>
            </w:pPr>
          </w:p>
        </w:tc>
        <w:tc>
          <w:tcPr>
            <w:tcW w:w="6916" w:type="dxa"/>
            <w:vAlign w:val="center"/>
          </w:tcPr>
          <w:p w14:paraId="65C53362">
            <w:pPr>
              <w:pStyle w:val="7"/>
              <w:pageBreakBefore w:val="0"/>
              <w:wordWrap/>
              <w:topLinePunct w:val="0"/>
              <w:bidi w:val="0"/>
              <w:spacing w:line="580" w:lineRule="exact"/>
              <w:rPr>
                <w:rFonts w:hint="eastAsia" w:ascii="宋体" w:hAnsi="宋体" w:eastAsia="宋体" w:cs="宋体"/>
                <w:snapToGrid w:val="0"/>
                <w:sz w:val="28"/>
                <w:szCs w:val="28"/>
              </w:rPr>
            </w:pPr>
          </w:p>
        </w:tc>
      </w:tr>
      <w:tr w14:paraId="32028C80">
        <w:tblPrEx>
          <w:tblCellMar>
            <w:top w:w="0" w:type="dxa"/>
            <w:left w:w="108" w:type="dxa"/>
            <w:bottom w:w="0" w:type="dxa"/>
            <w:right w:w="108" w:type="dxa"/>
          </w:tblCellMar>
        </w:tblPrEx>
        <w:trPr>
          <w:cantSplit/>
          <w:trHeight w:val="567" w:hRule="exact"/>
        </w:trPr>
        <w:tc>
          <w:tcPr>
            <w:tcW w:w="2076" w:type="dxa"/>
            <w:vAlign w:val="center"/>
          </w:tcPr>
          <w:p w14:paraId="0E78DDEA">
            <w:pPr>
              <w:pageBreakBefore w:val="0"/>
              <w:wordWrap/>
              <w:topLinePunct w:val="0"/>
              <w:bidi w:val="0"/>
              <w:spacing w:line="580" w:lineRule="exact"/>
              <w:jc w:val="right"/>
              <w:rPr>
                <w:rFonts w:hint="eastAsia" w:ascii="宋体" w:hAnsi="宋体" w:eastAsia="宋体" w:cs="宋体"/>
                <w:snapToGrid w:val="0"/>
                <w:sz w:val="28"/>
                <w:szCs w:val="28"/>
              </w:rPr>
            </w:pPr>
            <w:r>
              <w:rPr>
                <w:rFonts w:hint="eastAsia" w:ascii="宋体" w:hAnsi="宋体" w:eastAsia="宋体" w:cs="宋体"/>
                <w:sz w:val="28"/>
                <w:szCs w:val="28"/>
              </w:rPr>
              <w:t>组 长</w:t>
            </w:r>
          </w:p>
        </w:tc>
        <w:tc>
          <w:tcPr>
            <w:tcW w:w="240" w:type="dxa"/>
            <w:vAlign w:val="center"/>
          </w:tcPr>
          <w:p w14:paraId="22B72185">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rPr>
              <w:t>：</w:t>
            </w:r>
          </w:p>
        </w:tc>
        <w:tc>
          <w:tcPr>
            <w:tcW w:w="6916" w:type="dxa"/>
            <w:vAlign w:val="center"/>
          </w:tcPr>
          <w:p w14:paraId="44BEE56C">
            <w:pPr>
              <w:pStyle w:val="7"/>
              <w:pageBreakBefore w:val="0"/>
              <w:wordWrap/>
              <w:topLinePunct w:val="0"/>
              <w:bidi w:val="0"/>
              <w:spacing w:line="580" w:lineRule="exact"/>
              <w:rPr>
                <w:rFonts w:hint="eastAsia" w:ascii="宋体" w:hAnsi="宋体" w:eastAsia="宋体" w:cs="宋体"/>
                <w:snapToGrid w:val="0"/>
                <w:sz w:val="28"/>
                <w:szCs w:val="28"/>
              </w:rPr>
            </w:pPr>
            <w:r>
              <w:rPr>
                <w:rFonts w:hint="eastAsia" w:ascii="宋体" w:hAnsi="宋体" w:eastAsia="宋体" w:cs="宋体"/>
                <w:sz w:val="28"/>
                <w:szCs w:val="28"/>
              </w:rPr>
              <w:drawing>
                <wp:anchor distT="0" distB="0" distL="114300" distR="114300" simplePos="0" relativeHeight="251659264" behindDoc="1" locked="0" layoutInCell="1" allowOverlap="1">
                  <wp:simplePos x="0" y="0"/>
                  <wp:positionH relativeFrom="column">
                    <wp:posOffset>1570990</wp:posOffset>
                  </wp:positionH>
                  <wp:positionV relativeFrom="paragraph">
                    <wp:posOffset>2540</wp:posOffset>
                  </wp:positionV>
                  <wp:extent cx="740410" cy="419100"/>
                  <wp:effectExtent l="0" t="0" r="2540" b="0"/>
                  <wp:wrapNone/>
                  <wp:docPr id="40" name="图片 1" descr="J:\2022年度\2、综合文件\6、签字全套\124a934e4422790ae2b605bd7e455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descr="J:\2022年度\2、综合文件\6、签字全套\124a934e4422790ae2b605bd7e4551c.jpg"/>
                          <pic:cNvPicPr>
                            <a:picLocks noChangeAspect="1" noChangeArrowheads="1"/>
                          </pic:cNvPicPr>
                        </pic:nvPicPr>
                        <pic:blipFill>
                          <a:blip r:embed="rId6" cstate="print"/>
                          <a:srcRect/>
                          <a:stretch>
                            <a:fillRect/>
                          </a:stretch>
                        </pic:blipFill>
                        <pic:spPr>
                          <a:xfrm>
                            <a:off x="0" y="0"/>
                            <a:ext cx="740410" cy="419100"/>
                          </a:xfrm>
                          <a:prstGeom prst="rect">
                            <a:avLst/>
                          </a:prstGeom>
                          <a:noFill/>
                          <a:ln w="9525">
                            <a:noFill/>
                            <a:miter lim="800000"/>
                            <a:headEnd/>
                            <a:tailEnd/>
                          </a:ln>
                        </pic:spPr>
                      </pic:pic>
                    </a:graphicData>
                  </a:graphic>
                </wp:anchor>
              </w:drawing>
            </w:r>
            <w:r>
              <w:rPr>
                <w:rFonts w:hint="eastAsia" w:ascii="宋体" w:hAnsi="宋体" w:eastAsia="宋体" w:cs="宋体"/>
                <w:sz w:val="28"/>
                <w:szCs w:val="28"/>
                <w:lang w:val="en-US" w:eastAsia="zh-CN"/>
              </w:rPr>
              <w:t>陆成新</w:t>
            </w:r>
            <w:r>
              <w:rPr>
                <w:rFonts w:hint="eastAsia" w:ascii="宋体" w:hAnsi="宋体" w:eastAsia="宋体" w:cs="宋体"/>
                <w:snapToGrid w:val="0"/>
                <w:sz w:val="28"/>
                <w:szCs w:val="28"/>
              </w:rPr>
              <w:t>（</w:t>
            </w:r>
            <w:r>
              <w:rPr>
                <w:rFonts w:hint="eastAsia" w:ascii="宋体" w:hAnsi="宋体" w:eastAsia="宋体" w:cs="宋体"/>
                <w:snapToGrid w:val="0"/>
                <w:sz w:val="28"/>
                <w:szCs w:val="28"/>
                <w:lang w:val="en-US" w:eastAsia="zh-CN"/>
              </w:rPr>
              <w:t>水工环</w:t>
            </w:r>
            <w:r>
              <w:rPr>
                <w:rFonts w:hint="eastAsia" w:ascii="宋体" w:hAnsi="宋体" w:eastAsia="宋体" w:cs="宋体"/>
                <w:snapToGrid w:val="0"/>
                <w:sz w:val="28"/>
                <w:szCs w:val="28"/>
              </w:rPr>
              <w:t>）</w:t>
            </w:r>
          </w:p>
        </w:tc>
      </w:tr>
      <w:tr w14:paraId="1C3C4D06">
        <w:tblPrEx>
          <w:tblCellMar>
            <w:top w:w="0" w:type="dxa"/>
            <w:left w:w="108" w:type="dxa"/>
            <w:bottom w:w="0" w:type="dxa"/>
            <w:right w:w="108" w:type="dxa"/>
          </w:tblCellMar>
        </w:tblPrEx>
        <w:trPr>
          <w:cantSplit/>
          <w:trHeight w:val="567" w:hRule="exact"/>
        </w:trPr>
        <w:tc>
          <w:tcPr>
            <w:tcW w:w="2076" w:type="dxa"/>
            <w:vAlign w:val="center"/>
          </w:tcPr>
          <w:p w14:paraId="7CF423BF">
            <w:pPr>
              <w:pageBreakBefore w:val="0"/>
              <w:wordWrap/>
              <w:topLinePunct w:val="0"/>
              <w:bidi w:val="0"/>
              <w:spacing w:line="580" w:lineRule="exact"/>
              <w:jc w:val="right"/>
              <w:rPr>
                <w:rFonts w:hint="eastAsia" w:ascii="宋体" w:hAnsi="宋体" w:eastAsia="宋体" w:cs="宋体"/>
                <w:snapToGrid w:val="0"/>
                <w:sz w:val="28"/>
                <w:szCs w:val="28"/>
              </w:rPr>
            </w:pPr>
            <w:r>
              <w:rPr>
                <w:rFonts w:hint="eastAsia" w:ascii="宋体" w:hAnsi="宋体" w:eastAsia="宋体" w:cs="宋体"/>
                <w:sz w:val="28"/>
                <w:szCs w:val="28"/>
              </w:rPr>
              <w:t>成 员</w:t>
            </w:r>
          </w:p>
        </w:tc>
        <w:tc>
          <w:tcPr>
            <w:tcW w:w="240" w:type="dxa"/>
            <w:vAlign w:val="center"/>
          </w:tcPr>
          <w:p w14:paraId="04264685">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rPr>
              <w:t>：</w:t>
            </w:r>
          </w:p>
        </w:tc>
        <w:tc>
          <w:tcPr>
            <w:tcW w:w="6916" w:type="dxa"/>
            <w:vAlign w:val="center"/>
          </w:tcPr>
          <w:p w14:paraId="00707E94">
            <w:pPr>
              <w:pStyle w:val="7"/>
              <w:pageBreakBefore w:val="0"/>
              <w:wordWrap/>
              <w:topLinePunct w:val="0"/>
              <w:bidi w:val="0"/>
              <w:spacing w:line="580" w:lineRule="exact"/>
              <w:rPr>
                <w:rFonts w:hint="eastAsia" w:ascii="宋体" w:hAnsi="宋体" w:eastAsia="宋体" w:cs="宋体"/>
                <w:snapToGrid w:val="0"/>
                <w:sz w:val="28"/>
                <w:szCs w:val="28"/>
                <w:lang w:val="en-US" w:eastAsia="zh-CN"/>
              </w:rPr>
            </w:pPr>
            <w:r>
              <w:rPr>
                <w:rFonts w:hint="eastAsia" w:ascii="宋体" w:hAnsi="宋体" w:eastAsia="宋体" w:cs="宋体"/>
                <w:snapToGrid w:val="0"/>
                <w:sz w:val="28"/>
                <w:szCs w:val="28"/>
                <w:lang w:val="en-US" w:eastAsia="zh-CN"/>
              </w:rPr>
              <w:t>崔德广</w:t>
            </w:r>
            <w:r>
              <w:rPr>
                <w:rFonts w:hint="eastAsia" w:ascii="宋体" w:hAnsi="宋体" w:eastAsia="宋体" w:cs="宋体"/>
                <w:snapToGrid w:val="0"/>
                <w:sz w:val="28"/>
                <w:szCs w:val="28"/>
              </w:rPr>
              <w:t>（</w:t>
            </w:r>
            <w:r>
              <w:rPr>
                <w:rFonts w:hint="eastAsia" w:ascii="宋体" w:hAnsi="宋体" w:eastAsia="宋体" w:cs="宋体"/>
                <w:snapToGrid w:val="0"/>
                <w:sz w:val="28"/>
                <w:szCs w:val="28"/>
                <w:lang w:val="en-US" w:eastAsia="zh-CN"/>
              </w:rPr>
              <w:t>水工环</w:t>
            </w:r>
            <w:r>
              <w:rPr>
                <w:rFonts w:hint="eastAsia" w:ascii="宋体" w:hAnsi="宋体" w:eastAsia="宋体" w:cs="宋体"/>
                <w:snapToGrid w:val="0"/>
                <w:sz w:val="28"/>
                <w:szCs w:val="28"/>
              </w:rPr>
              <w:t>）</w:t>
            </w:r>
            <w:r>
              <w:rPr>
                <w:rFonts w:hint="eastAsia" w:ascii="宋体" w:hAnsi="宋体" w:eastAsia="宋体" w:cs="宋体"/>
                <w:snapToGrid w:val="0"/>
                <w:sz w:val="28"/>
                <w:szCs w:val="28"/>
                <w:lang w:eastAsia="zh-CN"/>
              </w:rPr>
              <w:t>、</w:t>
            </w:r>
            <w:r>
              <w:rPr>
                <w:rFonts w:hint="eastAsia" w:ascii="宋体" w:hAnsi="宋体" w:eastAsia="宋体" w:cs="宋体"/>
                <w:snapToGrid w:val="0"/>
                <w:sz w:val="28"/>
                <w:szCs w:val="28"/>
                <w:lang w:val="en-US" w:eastAsia="zh-CN"/>
              </w:rPr>
              <w:t>田敬佺</w:t>
            </w:r>
            <w:r>
              <w:rPr>
                <w:rFonts w:hint="eastAsia" w:ascii="宋体" w:hAnsi="宋体" w:eastAsia="宋体" w:cs="宋体"/>
                <w:snapToGrid w:val="0"/>
                <w:sz w:val="28"/>
                <w:szCs w:val="28"/>
              </w:rPr>
              <w:t>（</w:t>
            </w:r>
            <w:r>
              <w:rPr>
                <w:rFonts w:hint="eastAsia" w:ascii="宋体" w:hAnsi="宋体" w:eastAsia="宋体" w:cs="宋体"/>
                <w:snapToGrid w:val="0"/>
                <w:sz w:val="28"/>
                <w:szCs w:val="28"/>
                <w:lang w:val="en-US" w:eastAsia="zh-CN"/>
              </w:rPr>
              <w:t>地质</w:t>
            </w:r>
            <w:r>
              <w:rPr>
                <w:rFonts w:hint="eastAsia" w:ascii="宋体" w:hAnsi="宋体" w:eastAsia="宋体" w:cs="宋体"/>
                <w:snapToGrid w:val="0"/>
                <w:sz w:val="28"/>
                <w:szCs w:val="28"/>
              </w:rPr>
              <w:t>）</w:t>
            </w:r>
          </w:p>
        </w:tc>
      </w:tr>
      <w:tr w14:paraId="58CB4903">
        <w:tblPrEx>
          <w:tblCellMar>
            <w:top w:w="0" w:type="dxa"/>
            <w:left w:w="108" w:type="dxa"/>
            <w:bottom w:w="0" w:type="dxa"/>
            <w:right w:w="108" w:type="dxa"/>
          </w:tblCellMar>
        </w:tblPrEx>
        <w:trPr>
          <w:cantSplit/>
          <w:trHeight w:val="567" w:hRule="exact"/>
        </w:trPr>
        <w:tc>
          <w:tcPr>
            <w:tcW w:w="2076" w:type="dxa"/>
            <w:vAlign w:val="center"/>
          </w:tcPr>
          <w:p w14:paraId="2C374CDC">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pacing w:val="266"/>
                <w:kern w:val="0"/>
                <w:sz w:val="28"/>
                <w:szCs w:val="28"/>
                <w:fitText w:val="1920" w:id="1840980269"/>
              </w:rPr>
              <w:t>评审方</w:t>
            </w:r>
            <w:r>
              <w:rPr>
                <w:rFonts w:hint="eastAsia" w:ascii="宋体" w:hAnsi="宋体" w:eastAsia="宋体" w:cs="宋体"/>
                <w:snapToGrid w:val="0"/>
                <w:spacing w:val="2"/>
                <w:kern w:val="0"/>
                <w:sz w:val="28"/>
                <w:szCs w:val="28"/>
                <w:fitText w:val="1920" w:id="1840980269"/>
              </w:rPr>
              <w:t>式</w:t>
            </w:r>
          </w:p>
        </w:tc>
        <w:tc>
          <w:tcPr>
            <w:tcW w:w="240" w:type="dxa"/>
            <w:vAlign w:val="center"/>
          </w:tcPr>
          <w:p w14:paraId="5D4999C7">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rPr>
              <w:t>：</w:t>
            </w:r>
          </w:p>
        </w:tc>
        <w:tc>
          <w:tcPr>
            <w:tcW w:w="6916" w:type="dxa"/>
            <w:vAlign w:val="center"/>
          </w:tcPr>
          <w:p w14:paraId="15AA45ED">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lang w:val="en-US" w:eastAsia="zh-CN"/>
              </w:rPr>
              <w:t>腾讯会议会审</w:t>
            </w:r>
          </w:p>
        </w:tc>
      </w:tr>
      <w:tr w14:paraId="18F8E9E1">
        <w:tblPrEx>
          <w:tblCellMar>
            <w:top w:w="0" w:type="dxa"/>
            <w:left w:w="108" w:type="dxa"/>
            <w:bottom w:w="0" w:type="dxa"/>
            <w:right w:w="108" w:type="dxa"/>
          </w:tblCellMar>
        </w:tblPrEx>
        <w:trPr>
          <w:cantSplit/>
          <w:trHeight w:val="567" w:hRule="exact"/>
        </w:trPr>
        <w:tc>
          <w:tcPr>
            <w:tcW w:w="2076" w:type="dxa"/>
            <w:vAlign w:val="center"/>
          </w:tcPr>
          <w:p w14:paraId="325F4245">
            <w:pPr>
              <w:pageBreakBefore w:val="0"/>
              <w:wordWrap/>
              <w:topLinePunct w:val="0"/>
              <w:bidi w:val="0"/>
              <w:adjustRightInd w:val="0"/>
              <w:snapToGrid w:val="0"/>
              <w:spacing w:line="580" w:lineRule="exact"/>
              <w:rPr>
                <w:rFonts w:hint="eastAsia" w:ascii="宋体" w:hAnsi="宋体" w:eastAsia="宋体" w:cs="宋体"/>
                <w:snapToGrid w:val="0"/>
                <w:kern w:val="0"/>
                <w:sz w:val="28"/>
                <w:szCs w:val="28"/>
              </w:rPr>
            </w:pPr>
            <w:r>
              <w:rPr>
                <w:rFonts w:hint="eastAsia" w:ascii="宋体" w:hAnsi="宋体" w:eastAsia="宋体" w:cs="宋体"/>
                <w:snapToGrid w:val="0"/>
                <w:spacing w:val="266"/>
                <w:kern w:val="0"/>
                <w:sz w:val="28"/>
                <w:szCs w:val="28"/>
                <w:fitText w:val="1920" w:id="1408057340"/>
              </w:rPr>
              <w:t>评审日</w:t>
            </w:r>
            <w:r>
              <w:rPr>
                <w:rFonts w:hint="eastAsia" w:ascii="宋体" w:hAnsi="宋体" w:eastAsia="宋体" w:cs="宋体"/>
                <w:snapToGrid w:val="0"/>
                <w:spacing w:val="2"/>
                <w:kern w:val="0"/>
                <w:sz w:val="28"/>
                <w:szCs w:val="28"/>
                <w:fitText w:val="1920" w:id="1408057340"/>
              </w:rPr>
              <w:t>期</w:t>
            </w:r>
          </w:p>
        </w:tc>
        <w:tc>
          <w:tcPr>
            <w:tcW w:w="240" w:type="dxa"/>
            <w:vAlign w:val="center"/>
          </w:tcPr>
          <w:p w14:paraId="5D9A40C9">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rPr>
              <w:t>:</w:t>
            </w:r>
          </w:p>
        </w:tc>
        <w:tc>
          <w:tcPr>
            <w:tcW w:w="6916" w:type="dxa"/>
            <w:vAlign w:val="center"/>
          </w:tcPr>
          <w:p w14:paraId="140327B9">
            <w:pPr>
              <w:pageBreakBefore w:val="0"/>
              <w:wordWrap/>
              <w:topLinePunct w:val="0"/>
              <w:bidi w:val="0"/>
              <w:adjustRightInd w:val="0"/>
              <w:snapToGrid w:val="0"/>
              <w:spacing w:line="580" w:lineRule="exact"/>
              <w:rPr>
                <w:rFonts w:hint="eastAsia" w:ascii="宋体" w:hAnsi="宋体" w:eastAsia="宋体" w:cs="宋体"/>
                <w:snapToGrid w:val="0"/>
                <w:sz w:val="28"/>
                <w:szCs w:val="28"/>
              </w:rPr>
            </w:pPr>
            <w:r>
              <w:rPr>
                <w:rFonts w:hint="eastAsia" w:ascii="宋体" w:hAnsi="宋体" w:eastAsia="宋体" w:cs="宋体"/>
                <w:snapToGrid w:val="0"/>
                <w:sz w:val="28"/>
                <w:szCs w:val="28"/>
              </w:rPr>
              <w:t>202</w:t>
            </w:r>
            <w:r>
              <w:rPr>
                <w:rFonts w:hint="eastAsia" w:ascii="宋体" w:hAnsi="宋体" w:eastAsia="宋体" w:cs="宋体"/>
                <w:snapToGrid w:val="0"/>
                <w:sz w:val="28"/>
                <w:szCs w:val="28"/>
                <w:lang w:val="en-US" w:eastAsia="zh-CN"/>
              </w:rPr>
              <w:t>6</w:t>
            </w:r>
            <w:r>
              <w:rPr>
                <w:rFonts w:hint="eastAsia" w:ascii="宋体" w:hAnsi="宋体" w:eastAsia="宋体" w:cs="宋体"/>
                <w:snapToGrid w:val="0"/>
                <w:sz w:val="28"/>
                <w:szCs w:val="28"/>
              </w:rPr>
              <w:t>年</w:t>
            </w:r>
            <w:r>
              <w:rPr>
                <w:rFonts w:hint="eastAsia" w:ascii="宋体" w:hAnsi="宋体" w:eastAsia="宋体" w:cs="宋体"/>
                <w:snapToGrid w:val="0"/>
                <w:sz w:val="28"/>
                <w:szCs w:val="28"/>
                <w:lang w:val="en-US" w:eastAsia="zh-CN"/>
              </w:rPr>
              <w:t>9</w:t>
            </w:r>
            <w:r>
              <w:rPr>
                <w:rFonts w:hint="eastAsia" w:ascii="宋体" w:hAnsi="宋体" w:eastAsia="宋体" w:cs="宋体"/>
                <w:snapToGrid w:val="0"/>
                <w:sz w:val="28"/>
                <w:szCs w:val="28"/>
              </w:rPr>
              <w:t>月</w:t>
            </w:r>
            <w:r>
              <w:rPr>
                <w:rFonts w:hint="eastAsia" w:ascii="宋体" w:hAnsi="宋体" w:eastAsia="宋体" w:cs="宋体"/>
                <w:snapToGrid w:val="0"/>
                <w:sz w:val="28"/>
                <w:szCs w:val="28"/>
                <w:lang w:val="en-US" w:eastAsia="zh-CN"/>
              </w:rPr>
              <w:t>5</w:t>
            </w:r>
            <w:r>
              <w:rPr>
                <w:rFonts w:hint="eastAsia" w:ascii="宋体" w:hAnsi="宋体" w:eastAsia="宋体" w:cs="宋体"/>
                <w:snapToGrid w:val="0"/>
                <w:sz w:val="28"/>
                <w:szCs w:val="28"/>
              </w:rPr>
              <w:t>日</w:t>
            </w:r>
          </w:p>
        </w:tc>
      </w:tr>
      <w:tr w14:paraId="284FEF97">
        <w:tblPrEx>
          <w:tblCellMar>
            <w:top w:w="0" w:type="dxa"/>
            <w:left w:w="108" w:type="dxa"/>
            <w:bottom w:w="0" w:type="dxa"/>
            <w:right w:w="108" w:type="dxa"/>
          </w:tblCellMar>
        </w:tblPrEx>
        <w:trPr>
          <w:cantSplit/>
          <w:trHeight w:val="567" w:hRule="exact"/>
        </w:trPr>
        <w:tc>
          <w:tcPr>
            <w:tcW w:w="2076" w:type="dxa"/>
            <w:vAlign w:val="center"/>
          </w:tcPr>
          <w:p w14:paraId="3635AC5A">
            <w:pPr>
              <w:pageBreakBefore w:val="0"/>
              <w:wordWrap/>
              <w:topLinePunct w:val="0"/>
              <w:bidi w:val="0"/>
              <w:adjustRightInd w:val="0"/>
              <w:snapToGrid w:val="0"/>
              <w:spacing w:line="580" w:lineRule="exact"/>
              <w:rPr>
                <w:rFonts w:hint="eastAsia" w:ascii="宋体" w:hAnsi="宋体" w:eastAsia="宋体" w:cs="宋体"/>
                <w:snapToGrid w:val="0"/>
                <w:kern w:val="0"/>
                <w:sz w:val="28"/>
                <w:szCs w:val="28"/>
                <w:lang w:eastAsia="zh-CN"/>
              </w:rPr>
            </w:pPr>
          </w:p>
          <w:p w14:paraId="66639708">
            <w:pPr>
              <w:pageBreakBefore w:val="0"/>
              <w:wordWrap/>
              <w:topLinePunct w:val="0"/>
              <w:bidi w:val="0"/>
              <w:adjustRightInd w:val="0"/>
              <w:snapToGrid w:val="0"/>
              <w:spacing w:line="580" w:lineRule="exact"/>
              <w:rPr>
                <w:rFonts w:hint="eastAsia" w:ascii="宋体" w:hAnsi="宋体" w:eastAsia="宋体" w:cs="宋体"/>
                <w:snapToGrid w:val="0"/>
                <w:sz w:val="28"/>
                <w:szCs w:val="28"/>
              </w:rPr>
            </w:pPr>
          </w:p>
        </w:tc>
        <w:tc>
          <w:tcPr>
            <w:tcW w:w="240" w:type="dxa"/>
            <w:vAlign w:val="center"/>
          </w:tcPr>
          <w:p w14:paraId="21B4CAE1">
            <w:pPr>
              <w:pageBreakBefore w:val="0"/>
              <w:wordWrap/>
              <w:topLinePunct w:val="0"/>
              <w:bidi w:val="0"/>
              <w:adjustRightInd w:val="0"/>
              <w:snapToGrid w:val="0"/>
              <w:spacing w:line="580" w:lineRule="exact"/>
              <w:rPr>
                <w:rFonts w:hint="eastAsia" w:ascii="宋体" w:hAnsi="宋体" w:eastAsia="宋体" w:cs="宋体"/>
                <w:snapToGrid w:val="0"/>
                <w:sz w:val="28"/>
                <w:szCs w:val="28"/>
              </w:rPr>
            </w:pPr>
          </w:p>
        </w:tc>
        <w:tc>
          <w:tcPr>
            <w:tcW w:w="6916" w:type="dxa"/>
            <w:vAlign w:val="center"/>
          </w:tcPr>
          <w:p w14:paraId="69A149CA">
            <w:pPr>
              <w:pageBreakBefore w:val="0"/>
              <w:wordWrap/>
              <w:topLinePunct w:val="0"/>
              <w:bidi w:val="0"/>
              <w:adjustRightInd w:val="0"/>
              <w:snapToGrid w:val="0"/>
              <w:spacing w:line="580" w:lineRule="exact"/>
              <w:rPr>
                <w:rFonts w:hint="eastAsia" w:ascii="宋体" w:hAnsi="宋体" w:eastAsia="宋体" w:cs="宋体"/>
                <w:snapToGrid w:val="0"/>
                <w:sz w:val="28"/>
                <w:szCs w:val="28"/>
                <w:lang w:val="en-US" w:eastAsia="zh-CN"/>
              </w:rPr>
            </w:pPr>
          </w:p>
        </w:tc>
      </w:tr>
    </w:tbl>
    <w:p w14:paraId="27383C05">
      <w:pPr>
        <w:pStyle w:val="2"/>
        <w:pageBreakBefore w:val="0"/>
        <w:wordWrap/>
        <w:topLinePunct w:val="0"/>
        <w:bidi w:val="0"/>
        <w:snapToGrid w:val="0"/>
        <w:spacing w:before="120" w:after="120" w:line="580" w:lineRule="exact"/>
        <w:jc w:val="center"/>
        <w:rPr>
          <w:rFonts w:hint="eastAsia" w:ascii="宋体" w:hAnsi="宋体" w:eastAsia="宋体" w:cs="宋体"/>
          <w:sz w:val="28"/>
          <w:szCs w:val="28"/>
        </w:rPr>
      </w:pPr>
    </w:p>
    <w:p w14:paraId="20187D2F">
      <w:pPr>
        <w:pageBreakBefore w:val="0"/>
        <w:wordWrap/>
        <w:topLinePunct w:val="0"/>
        <w:bidi w:val="0"/>
        <w:spacing w:line="580" w:lineRule="exact"/>
        <w:rPr>
          <w:rFonts w:hint="eastAsia" w:ascii="宋体" w:hAnsi="宋体" w:eastAsia="宋体" w:cs="宋体"/>
          <w:sz w:val="28"/>
          <w:szCs w:val="28"/>
        </w:rPr>
      </w:pPr>
    </w:p>
    <w:p w14:paraId="09171888">
      <w:pPr>
        <w:pageBreakBefore w:val="0"/>
        <w:wordWrap/>
        <w:topLinePunct w:val="0"/>
        <w:bidi w:val="0"/>
        <w:spacing w:line="580" w:lineRule="exact"/>
        <w:rPr>
          <w:rFonts w:hint="eastAsia" w:ascii="宋体" w:hAnsi="宋体" w:eastAsia="宋体" w:cs="宋体"/>
          <w:sz w:val="28"/>
          <w:szCs w:val="28"/>
        </w:rPr>
      </w:pPr>
    </w:p>
    <w:p w14:paraId="3D0F75A0">
      <w:pPr>
        <w:pageBreakBefore w:val="0"/>
        <w:wordWrap/>
        <w:topLinePunct w:val="0"/>
        <w:bidi w:val="0"/>
        <w:spacing w:line="580" w:lineRule="exact"/>
        <w:rPr>
          <w:rFonts w:hint="eastAsia" w:ascii="宋体" w:hAnsi="宋体" w:eastAsia="宋体" w:cs="宋体"/>
          <w:sz w:val="28"/>
          <w:szCs w:val="28"/>
        </w:rPr>
      </w:pPr>
    </w:p>
    <w:p w14:paraId="2BBFD5A3">
      <w:pPr>
        <w:pageBreakBefore w:val="0"/>
        <w:wordWrap/>
        <w:topLinePunct w:val="0"/>
        <w:bidi w:val="0"/>
        <w:spacing w:line="580" w:lineRule="exact"/>
        <w:rPr>
          <w:rFonts w:hint="eastAsia" w:ascii="宋体" w:hAnsi="宋体" w:eastAsia="宋体" w:cs="宋体"/>
          <w:sz w:val="28"/>
          <w:szCs w:val="28"/>
        </w:rPr>
      </w:pPr>
    </w:p>
    <w:p w14:paraId="5CB5F809">
      <w:pPr>
        <w:pageBreakBefore w:val="0"/>
        <w:wordWrap/>
        <w:topLinePunct w:val="0"/>
        <w:bidi w:val="0"/>
        <w:spacing w:line="580" w:lineRule="exact"/>
        <w:rPr>
          <w:rFonts w:hint="eastAsia" w:ascii="宋体" w:hAnsi="宋体" w:eastAsia="宋体" w:cs="宋体"/>
          <w:sz w:val="28"/>
          <w:szCs w:val="28"/>
        </w:rPr>
      </w:pPr>
    </w:p>
    <w:p w14:paraId="13D6B676">
      <w:pPr>
        <w:pageBreakBefore w:val="0"/>
        <w:wordWrap/>
        <w:topLinePunct w:val="0"/>
        <w:bidi w:val="0"/>
        <w:spacing w:line="580" w:lineRule="exact"/>
        <w:rPr>
          <w:rFonts w:hint="eastAsia" w:ascii="宋体" w:hAnsi="宋体" w:eastAsia="宋体" w:cs="宋体"/>
          <w:sz w:val="28"/>
          <w:szCs w:val="28"/>
        </w:rPr>
      </w:pPr>
    </w:p>
    <w:p w14:paraId="6C8927DC">
      <w:pPr>
        <w:pageBreakBefore w:val="0"/>
        <w:wordWrap/>
        <w:topLinePunct w:val="0"/>
        <w:bidi w:val="0"/>
        <w:spacing w:line="580" w:lineRule="exact"/>
        <w:rPr>
          <w:rFonts w:hint="eastAsia" w:ascii="宋体" w:hAnsi="宋体" w:eastAsia="宋体" w:cs="宋体"/>
          <w:sz w:val="28"/>
          <w:szCs w:val="28"/>
        </w:rPr>
      </w:pPr>
    </w:p>
    <w:p w14:paraId="6EC01432">
      <w:pPr>
        <w:pageBreakBefore w:val="0"/>
        <w:wordWrap/>
        <w:topLinePunct w:val="0"/>
        <w:bidi w:val="0"/>
        <w:spacing w:line="580" w:lineRule="exact"/>
        <w:rPr>
          <w:rFonts w:hint="eastAsia" w:ascii="宋体" w:hAnsi="宋体" w:eastAsia="宋体" w:cs="宋体"/>
          <w:sz w:val="28"/>
          <w:szCs w:val="28"/>
        </w:rPr>
      </w:pPr>
    </w:p>
    <w:p w14:paraId="1BFC3CB1">
      <w:pPr>
        <w:pageBreakBefore w:val="0"/>
        <w:wordWrap/>
        <w:topLinePunct w:val="0"/>
        <w:bidi w:val="0"/>
        <w:spacing w:line="580" w:lineRule="exact"/>
        <w:rPr>
          <w:rFonts w:hint="eastAsia" w:ascii="宋体" w:hAnsi="宋体" w:eastAsia="宋体" w:cs="宋体"/>
          <w:sz w:val="28"/>
          <w:szCs w:val="28"/>
        </w:rPr>
      </w:pPr>
    </w:p>
    <w:p w14:paraId="6EBA15E9">
      <w:pPr>
        <w:pStyle w:val="2"/>
        <w:pageBreakBefore w:val="0"/>
        <w:wordWrap/>
        <w:topLinePunct w:val="0"/>
        <w:bidi w:val="0"/>
        <w:snapToGrid w:val="0"/>
        <w:spacing w:before="120" w:after="120" w:line="580" w:lineRule="exact"/>
        <w:jc w:val="center"/>
        <w:rPr>
          <w:rFonts w:hint="eastAsia" w:ascii="宋体" w:hAnsi="宋体" w:eastAsia="宋体" w:cs="宋体"/>
          <w:sz w:val="28"/>
          <w:szCs w:val="28"/>
        </w:rPr>
      </w:pPr>
      <w:r>
        <w:rPr>
          <w:rFonts w:hint="eastAsia" w:ascii="宋体" w:hAnsi="宋体" w:eastAsia="宋体" w:cs="宋体"/>
          <w:sz w:val="28"/>
          <w:szCs w:val="28"/>
        </w:rPr>
        <w:t>焉耆县疆南城乡投资建设有限责任公司</w:t>
      </w:r>
    </w:p>
    <w:p w14:paraId="5358A81B">
      <w:pPr>
        <w:pStyle w:val="2"/>
        <w:pageBreakBefore w:val="0"/>
        <w:wordWrap/>
        <w:topLinePunct w:val="0"/>
        <w:bidi w:val="0"/>
        <w:snapToGrid w:val="0"/>
        <w:spacing w:before="120" w:after="120" w:line="580" w:lineRule="exact"/>
        <w:jc w:val="center"/>
        <w:rPr>
          <w:rFonts w:hint="eastAsia" w:ascii="宋体" w:hAnsi="宋体" w:eastAsia="宋体" w:cs="宋体"/>
          <w:sz w:val="28"/>
          <w:szCs w:val="28"/>
        </w:rPr>
      </w:pPr>
      <w:r>
        <w:rPr>
          <w:rFonts w:hint="eastAsia" w:ascii="宋体" w:hAnsi="宋体" w:eastAsia="宋体" w:cs="宋体"/>
          <w:sz w:val="28"/>
          <w:szCs w:val="28"/>
        </w:rPr>
        <w:t>焉耆县建筑用砂27号矿</w:t>
      </w:r>
    </w:p>
    <w:p w14:paraId="385FCA66">
      <w:pPr>
        <w:pStyle w:val="2"/>
        <w:pageBreakBefore w:val="0"/>
        <w:wordWrap/>
        <w:topLinePunct w:val="0"/>
        <w:bidi w:val="0"/>
        <w:snapToGrid w:val="0"/>
        <w:spacing w:before="120" w:after="120" w:line="580" w:lineRule="exact"/>
        <w:ind w:firstLine="562" w:firstLineChars="200"/>
        <w:rPr>
          <w:rFonts w:hint="eastAsia" w:ascii="宋体" w:hAnsi="宋体" w:eastAsia="宋体" w:cs="宋体"/>
          <w:sz w:val="28"/>
          <w:szCs w:val="28"/>
          <w:lang w:val="en-US" w:eastAsia="zh-CN"/>
        </w:rPr>
      </w:pPr>
      <w:r>
        <w:rPr>
          <w:rFonts w:hint="eastAsia" w:ascii="宋体" w:hAnsi="宋体" w:eastAsia="宋体" w:cs="宋体"/>
          <w:sz w:val="28"/>
          <w:szCs w:val="28"/>
        </w:rPr>
        <w:t>矿区生态修复方案专家组评审意见</w:t>
      </w:r>
      <w:r>
        <w:rPr>
          <w:rFonts w:hint="eastAsia" w:ascii="宋体" w:hAnsi="宋体" w:eastAsia="宋体" w:cs="宋体"/>
          <w:sz w:val="28"/>
          <w:szCs w:val="28"/>
          <w:lang w:val="en-US" w:eastAsia="zh-CN"/>
        </w:rPr>
        <w:t>书</w:t>
      </w:r>
    </w:p>
    <w:p w14:paraId="4268327D">
      <w:pPr>
        <w:keepNext w:val="0"/>
        <w:keepLines w:val="0"/>
        <w:pageBreakBefore w:val="0"/>
        <w:widowControl w:val="0"/>
        <w:kinsoku/>
        <w:wordWrap/>
        <w:overflowPunct w:val="0"/>
        <w:topLinePunct w:val="0"/>
        <w:bidi w:val="0"/>
        <w:spacing w:line="58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根据《自然资源部办公厅关于&lt;矿产资源法&gt;实施衔接过渡有关事项的通知》（自然资办函〔2025〕1704号）及《自治区自然资源厅关于做好&lt;矿产资源法&gt;实施衔接过渡期</w:t>
      </w:r>
      <w:r>
        <w:rPr>
          <w:rFonts w:hint="eastAsia" w:ascii="宋体" w:hAnsi="宋体" w:eastAsia="宋体" w:cs="宋体"/>
          <w:sz w:val="28"/>
          <w:szCs w:val="28"/>
          <w:lang w:val="en-US" w:eastAsia="zh-CN"/>
        </w:rPr>
        <w:t>生态修复</w:t>
      </w:r>
      <w:r>
        <w:rPr>
          <w:rFonts w:hint="eastAsia" w:ascii="宋体" w:hAnsi="宋体" w:eastAsia="宋体" w:cs="宋体"/>
          <w:sz w:val="28"/>
          <w:szCs w:val="28"/>
        </w:rPr>
        <w:t>方案评审工作的公告》等相关规定要求，因</w:t>
      </w:r>
      <w:r>
        <w:rPr>
          <w:rFonts w:hint="eastAsia" w:ascii="宋体" w:hAnsi="宋体" w:eastAsia="宋体" w:cs="宋体"/>
          <w:sz w:val="28"/>
          <w:szCs w:val="28"/>
          <w:lang w:val="en-US" w:eastAsia="zh-CN"/>
        </w:rPr>
        <w:t>新立</w:t>
      </w:r>
      <w:r>
        <w:rPr>
          <w:rFonts w:hint="eastAsia" w:ascii="宋体" w:hAnsi="宋体" w:eastAsia="宋体" w:cs="宋体"/>
          <w:sz w:val="28"/>
          <w:szCs w:val="28"/>
        </w:rPr>
        <w:t>采矿权</w:t>
      </w:r>
      <w:r>
        <w:rPr>
          <w:rFonts w:hint="eastAsia" w:ascii="宋体" w:hAnsi="宋体" w:eastAsia="宋体" w:cs="宋体"/>
          <w:sz w:val="28"/>
          <w:szCs w:val="28"/>
          <w:lang w:val="en-US" w:eastAsia="zh-CN"/>
        </w:rPr>
        <w:t>需要</w:t>
      </w:r>
      <w:r>
        <w:rPr>
          <w:rFonts w:hint="eastAsia" w:ascii="宋体" w:hAnsi="宋体" w:eastAsia="宋体" w:cs="宋体"/>
          <w:sz w:val="28"/>
          <w:szCs w:val="28"/>
        </w:rPr>
        <w:t>，</w:t>
      </w:r>
      <w:r>
        <w:rPr>
          <w:rFonts w:hint="eastAsia" w:ascii="宋体" w:hAnsi="宋体" w:eastAsia="宋体" w:cs="宋体"/>
          <w:color w:val="auto"/>
          <w:sz w:val="28"/>
          <w:szCs w:val="28"/>
          <w:highlight w:val="none"/>
          <w:lang w:val="en-US" w:eastAsia="zh-CN"/>
        </w:rPr>
        <w:t>焉耆县疆南城乡投资建设有限责任公司</w:t>
      </w:r>
      <w:r>
        <w:rPr>
          <w:rFonts w:hint="eastAsia" w:ascii="宋体" w:hAnsi="宋体" w:eastAsia="宋体" w:cs="宋体"/>
          <w:sz w:val="28"/>
          <w:szCs w:val="28"/>
        </w:rPr>
        <w:t>委托</w:t>
      </w:r>
      <w:r>
        <w:rPr>
          <w:rFonts w:hint="eastAsia" w:ascii="宋体" w:hAnsi="宋体" w:eastAsia="宋体" w:cs="宋体"/>
          <w:color w:val="auto"/>
          <w:sz w:val="28"/>
          <w:szCs w:val="28"/>
          <w:highlight w:val="none"/>
          <w:lang w:val="en-US" w:eastAsia="zh-CN"/>
        </w:rPr>
        <w:t>乌鲁木齐金辉永福矿业有限公司</w:t>
      </w:r>
      <w:r>
        <w:rPr>
          <w:rFonts w:hint="eastAsia" w:ascii="宋体" w:hAnsi="宋体" w:eastAsia="宋体" w:cs="宋体"/>
          <w:sz w:val="28"/>
          <w:szCs w:val="28"/>
        </w:rPr>
        <w:t>编制完成了《焉耆县疆南城乡投资建设有限责任公司焉耆县建筑用砂27号矿</w:t>
      </w:r>
      <w:r>
        <w:rPr>
          <w:rFonts w:hint="eastAsia" w:ascii="宋体" w:hAnsi="宋体" w:eastAsia="宋体" w:cs="宋体"/>
          <w:sz w:val="28"/>
          <w:szCs w:val="28"/>
          <w:lang w:val="en-US" w:eastAsia="zh-CN"/>
        </w:rPr>
        <w:t>矿区生态修复</w:t>
      </w:r>
      <w:r>
        <w:rPr>
          <w:rFonts w:hint="eastAsia" w:ascii="宋体" w:hAnsi="宋体" w:eastAsia="宋体" w:cs="宋体"/>
          <w:sz w:val="28"/>
          <w:szCs w:val="28"/>
        </w:rPr>
        <w:t>方案》（以下简称“方案”）。</w:t>
      </w:r>
    </w:p>
    <w:p w14:paraId="4B9FE441">
      <w:pPr>
        <w:keepNext w:val="0"/>
        <w:keepLines w:val="0"/>
        <w:pageBreakBefore w:val="0"/>
        <w:widowControl w:val="0"/>
        <w:kinsoku/>
        <w:wordWrap/>
        <w:topLinePunct w:val="0"/>
        <w:autoSpaceDE w:val="0"/>
        <w:autoSpaceDN w:val="0"/>
        <w:bidi w:val="0"/>
        <w:adjustRightInd w:val="0"/>
        <w:snapToGrid w:val="0"/>
        <w:spacing w:line="580" w:lineRule="exact"/>
        <w:ind w:firstLine="560" w:firstLineChars="200"/>
        <w:textAlignment w:val="auto"/>
        <w:rPr>
          <w:rFonts w:hint="eastAsia" w:ascii="宋体" w:hAnsi="宋体" w:eastAsia="宋体" w:cs="宋体"/>
          <w:kern w:val="2"/>
          <w:sz w:val="28"/>
          <w:szCs w:val="28"/>
        </w:rPr>
      </w:pPr>
      <w:r>
        <w:rPr>
          <w:rFonts w:hint="eastAsia" w:ascii="宋体" w:hAnsi="宋体" w:eastAsia="宋体" w:cs="宋体"/>
          <w:sz w:val="28"/>
          <w:szCs w:val="28"/>
          <w:lang w:val="en-US" w:eastAsia="zh-CN"/>
        </w:rPr>
        <w:t>方案由三</w:t>
      </w:r>
      <w:r>
        <w:rPr>
          <w:rFonts w:hint="eastAsia" w:ascii="宋体" w:hAnsi="宋体" w:eastAsia="宋体" w:cs="宋体"/>
          <w:kern w:val="2"/>
          <w:sz w:val="28"/>
          <w:szCs w:val="28"/>
        </w:rPr>
        <w:t>位水工环、</w:t>
      </w:r>
      <w:r>
        <w:rPr>
          <w:rFonts w:hint="eastAsia" w:ascii="宋体" w:hAnsi="宋体" w:eastAsia="宋体" w:cs="宋体"/>
          <w:kern w:val="2"/>
          <w:sz w:val="28"/>
          <w:szCs w:val="28"/>
          <w:lang w:val="en-US" w:eastAsia="zh-CN"/>
        </w:rPr>
        <w:t>地质矿产</w:t>
      </w:r>
      <w:r>
        <w:rPr>
          <w:rFonts w:hint="eastAsia" w:ascii="宋体" w:hAnsi="宋体" w:eastAsia="宋体" w:cs="宋体"/>
          <w:kern w:val="2"/>
          <w:sz w:val="28"/>
          <w:szCs w:val="28"/>
        </w:rPr>
        <w:t>专家（详见附表）</w:t>
      </w:r>
      <w:r>
        <w:rPr>
          <w:rFonts w:hint="eastAsia" w:ascii="宋体" w:hAnsi="宋体" w:eastAsia="宋体" w:cs="宋体"/>
          <w:sz w:val="28"/>
          <w:szCs w:val="28"/>
        </w:rPr>
        <w:t>，于</w:t>
      </w:r>
      <w:r>
        <w:rPr>
          <w:rFonts w:hint="eastAsia" w:ascii="宋体" w:hAnsi="宋体" w:eastAsia="宋体" w:cs="宋体"/>
          <w:sz w:val="28"/>
          <w:szCs w:val="28"/>
          <w:lang w:val="en-US" w:eastAsia="zh-CN"/>
        </w:rPr>
        <w:t>2026年9月5日</w:t>
      </w:r>
      <w:r>
        <w:rPr>
          <w:rFonts w:hint="eastAsia" w:ascii="宋体" w:hAnsi="宋体" w:eastAsia="宋体" w:cs="宋体"/>
          <w:sz w:val="28"/>
          <w:szCs w:val="28"/>
        </w:rPr>
        <w:t>召开</w:t>
      </w:r>
      <w:r>
        <w:rPr>
          <w:rFonts w:hint="eastAsia" w:ascii="宋体" w:hAnsi="宋体" w:eastAsia="宋体" w:cs="宋体"/>
          <w:sz w:val="28"/>
          <w:szCs w:val="28"/>
          <w:lang w:val="en-US" w:eastAsia="zh-CN"/>
        </w:rPr>
        <w:t>腾讯会议进行了</w:t>
      </w:r>
      <w:r>
        <w:rPr>
          <w:rFonts w:hint="eastAsia" w:ascii="宋体" w:hAnsi="宋体" w:eastAsia="宋体" w:cs="宋体"/>
          <w:sz w:val="28"/>
          <w:szCs w:val="28"/>
        </w:rPr>
        <w:t>评审，提出了专家审查意见。会后，编制单位对方案进行修改完善</w:t>
      </w:r>
      <w:r>
        <w:rPr>
          <w:rFonts w:hint="eastAsia" w:ascii="宋体" w:hAnsi="宋体" w:eastAsia="宋体" w:cs="宋体"/>
          <w:sz w:val="28"/>
          <w:szCs w:val="28"/>
          <w:lang w:eastAsia="zh-CN"/>
        </w:rPr>
        <w:t>，</w:t>
      </w:r>
      <w:r>
        <w:rPr>
          <w:rFonts w:hint="eastAsia" w:ascii="宋体" w:hAnsi="宋体" w:eastAsia="宋体" w:cs="宋体"/>
          <w:kern w:val="2"/>
          <w:sz w:val="28"/>
          <w:szCs w:val="28"/>
        </w:rPr>
        <w:t>专家</w:t>
      </w:r>
      <w:r>
        <w:rPr>
          <w:rFonts w:hint="eastAsia" w:ascii="宋体" w:hAnsi="宋体" w:eastAsia="宋体" w:cs="宋体"/>
          <w:kern w:val="2"/>
          <w:sz w:val="28"/>
          <w:szCs w:val="28"/>
          <w:lang w:eastAsia="zh-CN"/>
        </w:rPr>
        <w:t>组在</w:t>
      </w:r>
      <w:r>
        <w:rPr>
          <w:rFonts w:hint="eastAsia" w:ascii="宋体" w:hAnsi="宋体" w:eastAsia="宋体" w:cs="宋体"/>
          <w:kern w:val="2"/>
          <w:sz w:val="28"/>
          <w:szCs w:val="28"/>
        </w:rPr>
        <w:t>认真审阅编制单位提交《方案》文本、图件及相关附件资料的基础上，经讨论和专家组长复核的基础上，形成如下评审意见。</w:t>
      </w:r>
    </w:p>
    <w:p w14:paraId="71C5ED13">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22" w:firstLineChars="200"/>
        <w:jc w:val="both"/>
        <w:textAlignment w:val="baseline"/>
        <w:outlineLvl w:val="1"/>
        <w:rPr>
          <w:rFonts w:hint="eastAsia" w:ascii="宋体" w:hAnsi="宋体" w:eastAsia="宋体" w:cs="宋体"/>
          <w:b/>
          <w:bCs/>
          <w:spacing w:val="-10"/>
          <w:sz w:val="28"/>
          <w:szCs w:val="28"/>
        </w:rPr>
      </w:pPr>
      <w:r>
        <w:rPr>
          <w:rFonts w:hint="eastAsia" w:ascii="宋体" w:hAnsi="宋体" w:eastAsia="宋体" w:cs="宋体"/>
          <w:b/>
          <w:bCs/>
          <w:spacing w:val="-10"/>
          <w:sz w:val="28"/>
          <w:szCs w:val="28"/>
          <w:lang w:val="en-US" w:eastAsia="zh-CN"/>
        </w:rPr>
        <w:t>一</w:t>
      </w:r>
      <w:r>
        <w:rPr>
          <w:rFonts w:hint="eastAsia" w:ascii="宋体" w:hAnsi="宋体" w:eastAsia="宋体" w:cs="宋体"/>
          <w:b/>
          <w:bCs/>
          <w:spacing w:val="-10"/>
          <w:sz w:val="28"/>
          <w:szCs w:val="28"/>
        </w:rPr>
        <w:t>、设计利用资源储量政策符合性</w:t>
      </w:r>
    </w:p>
    <w:p w14:paraId="00453CAA">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6" w:firstLineChars="200"/>
        <w:jc w:val="both"/>
        <w:textAlignment w:val="baseline"/>
        <w:rPr>
          <w:rFonts w:hint="eastAsia" w:ascii="宋体" w:hAnsi="宋体" w:eastAsia="宋体" w:cs="宋体"/>
          <w:spacing w:val="-4"/>
          <w:sz w:val="28"/>
          <w:szCs w:val="28"/>
          <w:lang w:val="en-US" w:eastAsia="zh-CN"/>
        </w:rPr>
      </w:pPr>
      <w:r>
        <w:rPr>
          <w:rFonts w:hint="eastAsia" w:ascii="宋体" w:hAnsi="宋体" w:eastAsia="宋体" w:cs="宋体"/>
          <w:spacing w:val="-6"/>
          <w:sz w:val="28"/>
          <w:szCs w:val="28"/>
        </w:rPr>
        <w:t>《方案》资源储量类型确定合理，设计利用资源储量、可采储量的确定</w:t>
      </w:r>
      <w:r>
        <w:rPr>
          <w:rFonts w:hint="eastAsia" w:ascii="宋体" w:hAnsi="宋体" w:eastAsia="宋体" w:cs="宋体"/>
          <w:spacing w:val="-4"/>
          <w:sz w:val="28"/>
          <w:szCs w:val="28"/>
        </w:rPr>
        <w:t>符合</w:t>
      </w:r>
      <w:r>
        <w:rPr>
          <w:rFonts w:hint="eastAsia" w:ascii="宋体" w:hAnsi="宋体" w:eastAsia="宋体" w:cs="宋体"/>
          <w:spacing w:val="-4"/>
          <w:sz w:val="28"/>
          <w:szCs w:val="28"/>
          <w:lang w:val="en-US" w:eastAsia="zh-CN"/>
        </w:rPr>
        <w:t>巴州、焉耆县自然资源局</w:t>
      </w:r>
      <w:r>
        <w:rPr>
          <w:rFonts w:hint="eastAsia" w:ascii="宋体" w:hAnsi="宋体" w:eastAsia="宋体" w:cs="宋体"/>
          <w:spacing w:val="-4"/>
          <w:sz w:val="28"/>
          <w:szCs w:val="28"/>
        </w:rPr>
        <w:t>相关政策要求。</w:t>
      </w:r>
      <w:r>
        <w:rPr>
          <w:rFonts w:hint="eastAsia" w:ascii="宋体" w:hAnsi="宋体" w:eastAsia="宋体" w:cs="宋体"/>
          <w:spacing w:val="-4"/>
          <w:sz w:val="28"/>
          <w:szCs w:val="28"/>
          <w:lang w:val="en-US" w:eastAsia="zh-CN"/>
        </w:rPr>
        <w:t>矿区申请面积为0.0815平方公里。</w:t>
      </w:r>
    </w:p>
    <w:p w14:paraId="125E90A7">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10" w:firstLineChars="200"/>
        <w:jc w:val="both"/>
        <w:textAlignment w:val="baseline"/>
        <w:outlineLvl w:val="1"/>
        <w:rPr>
          <w:rFonts w:hint="eastAsia" w:ascii="宋体" w:hAnsi="宋体" w:eastAsia="宋体" w:cs="宋体"/>
          <w:b/>
          <w:bCs/>
          <w:spacing w:val="-13"/>
          <w:sz w:val="28"/>
          <w:szCs w:val="28"/>
        </w:rPr>
      </w:pPr>
      <w:r>
        <w:rPr>
          <w:rFonts w:hint="eastAsia" w:ascii="宋体" w:hAnsi="宋体" w:eastAsia="宋体" w:cs="宋体"/>
          <w:b/>
          <w:bCs/>
          <w:spacing w:val="-13"/>
          <w:sz w:val="28"/>
          <w:szCs w:val="28"/>
          <w:lang w:val="en-US" w:eastAsia="zh-CN"/>
        </w:rPr>
        <w:t>二</w:t>
      </w:r>
      <w:r>
        <w:rPr>
          <w:rFonts w:hint="eastAsia" w:ascii="宋体" w:hAnsi="宋体" w:eastAsia="宋体" w:cs="宋体"/>
          <w:b/>
          <w:bCs/>
          <w:spacing w:val="-13"/>
          <w:sz w:val="28"/>
          <w:szCs w:val="28"/>
        </w:rPr>
        <w:t>、设计利用储量、设计开采规模及服务年限</w:t>
      </w:r>
    </w:p>
    <w:p w14:paraId="525CF99F">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6" w:firstLineChars="200"/>
        <w:jc w:val="both"/>
        <w:textAlignment w:val="baseline"/>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矿区范围内未进行开采活动，根据《详查报告评审意见书》：截止2025年12月31日，矿区范围内资源储量估算标高+1079-+1055m标高内建筑用砂矿资源量（KZ+TD）20.64万立方米（可利用砂石量19.04万立方米）。设计境界内圈定矿石量19.96万立方米，矿山设计损失率为0.68%，设计开采回采率为95%，则建筑用砂矿石服务年限为：1.90年。</w:t>
      </w:r>
    </w:p>
    <w:p w14:paraId="00B0D18E">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18" w:firstLineChars="200"/>
        <w:jc w:val="both"/>
        <w:textAlignment w:val="baseline"/>
        <w:outlineLvl w:val="1"/>
        <w:rPr>
          <w:rFonts w:hint="eastAsia" w:ascii="宋体" w:hAnsi="宋体" w:eastAsia="宋体" w:cs="宋体"/>
          <w:b/>
          <w:bCs/>
          <w:spacing w:val="-11"/>
          <w:sz w:val="28"/>
          <w:szCs w:val="28"/>
        </w:rPr>
      </w:pPr>
      <w:r>
        <w:rPr>
          <w:rFonts w:hint="eastAsia" w:ascii="宋体" w:hAnsi="宋体" w:eastAsia="宋体" w:cs="宋体"/>
          <w:b/>
          <w:bCs/>
          <w:spacing w:val="-11"/>
          <w:sz w:val="28"/>
          <w:szCs w:val="28"/>
          <w:lang w:val="en-US" w:eastAsia="zh-CN"/>
        </w:rPr>
        <w:t>三</w:t>
      </w:r>
      <w:r>
        <w:rPr>
          <w:rFonts w:hint="eastAsia" w:ascii="宋体" w:hAnsi="宋体" w:eastAsia="宋体" w:cs="宋体"/>
          <w:b/>
          <w:bCs/>
          <w:spacing w:val="-11"/>
          <w:sz w:val="28"/>
          <w:szCs w:val="28"/>
        </w:rPr>
        <w:t>、采矿方案</w:t>
      </w:r>
    </w:p>
    <w:p w14:paraId="1A84D150">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6" w:firstLineChars="200"/>
        <w:jc w:val="both"/>
        <w:textAlignment w:val="baseline"/>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矿床成因为洪积沉积型，直接出露地表，矿体成分单一，主要为建筑用砂矿，主要由灰色砾石、粗砂、细砂、砂土组成。矿体无层理，直接出露地表，无共生、伴生矿产，设计该矿山未来采用露天开采方式。</w:t>
      </w:r>
    </w:p>
    <w:p w14:paraId="2E45FEEC">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4" w:firstLineChars="200"/>
        <w:jc w:val="both"/>
        <w:textAlignment w:val="baseline"/>
        <w:outlineLvl w:val="1"/>
        <w:rPr>
          <w:rFonts w:hint="eastAsia" w:ascii="宋体" w:hAnsi="宋体" w:eastAsia="宋体" w:cs="宋体"/>
          <w:b/>
          <w:bCs/>
          <w:spacing w:val="-7"/>
          <w:sz w:val="28"/>
          <w:szCs w:val="28"/>
        </w:rPr>
      </w:pPr>
      <w:r>
        <w:rPr>
          <w:rFonts w:hint="eastAsia" w:ascii="宋体" w:hAnsi="宋体" w:eastAsia="宋体" w:cs="宋体"/>
          <w:b/>
          <w:bCs/>
          <w:spacing w:val="-7"/>
          <w:sz w:val="28"/>
          <w:szCs w:val="28"/>
          <w:lang w:val="en-US" w:eastAsia="zh-CN"/>
        </w:rPr>
        <w:t>四</w:t>
      </w:r>
      <w:r>
        <w:rPr>
          <w:rFonts w:hint="eastAsia" w:ascii="宋体" w:hAnsi="宋体" w:eastAsia="宋体" w:cs="宋体"/>
          <w:b/>
          <w:bCs/>
          <w:spacing w:val="-7"/>
          <w:sz w:val="28"/>
          <w:szCs w:val="28"/>
        </w:rPr>
        <w:t>、产品方案</w:t>
      </w:r>
    </w:p>
    <w:p w14:paraId="0D261696">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6" w:firstLineChars="200"/>
        <w:jc w:val="both"/>
        <w:textAlignment w:val="baseline"/>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根据《&lt;焉耆县七个星建筑用砂矿详查报告&gt;评审意见书》（焉耆县自然资源局）评审结果及详查工作确定矿山开采矿种为建筑用砂矿，采出原矿经筛分，最终产品方案为经筛分后的0.075～5mm、5～20mm、20～40mm粒级建筑用砂。</w:t>
      </w:r>
    </w:p>
    <w:p w14:paraId="2880B1C8">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0" w:firstLineChars="200"/>
        <w:jc w:val="both"/>
        <w:textAlignment w:val="baseline"/>
        <w:outlineLvl w:val="1"/>
        <w:rPr>
          <w:rFonts w:hint="eastAsia" w:ascii="宋体" w:hAnsi="宋体" w:eastAsia="宋体" w:cs="宋体"/>
          <w:sz w:val="28"/>
          <w:szCs w:val="28"/>
        </w:rPr>
      </w:pPr>
      <w:r>
        <w:rPr>
          <w:rFonts w:hint="eastAsia" w:ascii="宋体" w:hAnsi="宋体" w:eastAsia="宋体" w:cs="宋体"/>
          <w:b/>
          <w:bCs/>
          <w:spacing w:val="-8"/>
          <w:sz w:val="28"/>
          <w:szCs w:val="28"/>
          <w:lang w:val="en-US" w:eastAsia="zh-CN"/>
        </w:rPr>
        <w:t>五</w:t>
      </w:r>
      <w:r>
        <w:rPr>
          <w:rFonts w:hint="eastAsia" w:ascii="宋体" w:hAnsi="宋体" w:eastAsia="宋体" w:cs="宋体"/>
          <w:b/>
          <w:bCs/>
          <w:spacing w:val="-8"/>
          <w:sz w:val="28"/>
          <w:szCs w:val="28"/>
        </w:rPr>
        <w:t>、绿色矿山建设</w:t>
      </w:r>
    </w:p>
    <w:p w14:paraId="18979431">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2" w:firstLineChars="200"/>
        <w:jc w:val="both"/>
        <w:textAlignment w:val="baseline"/>
        <w:rPr>
          <w:rFonts w:hint="eastAsia" w:ascii="宋体" w:hAnsi="宋体" w:eastAsia="宋体" w:cs="宋体"/>
          <w:sz w:val="28"/>
          <w:szCs w:val="28"/>
        </w:rPr>
      </w:pPr>
      <w:r>
        <w:rPr>
          <w:rFonts w:hint="eastAsia" w:ascii="宋体" w:hAnsi="宋体" w:eastAsia="宋体" w:cs="宋体"/>
          <w:spacing w:val="-2"/>
          <w:sz w:val="28"/>
          <w:szCs w:val="28"/>
        </w:rPr>
        <w:t>（一）绿色矿山建设的必要性</w:t>
      </w:r>
    </w:p>
    <w:p w14:paraId="1A2AD557">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z w:val="28"/>
          <w:szCs w:val="28"/>
        </w:rPr>
      </w:pPr>
      <w:r>
        <w:rPr>
          <w:rFonts w:hint="eastAsia" w:ascii="宋体" w:hAnsi="宋体" w:eastAsia="宋体" w:cs="宋体"/>
          <w:spacing w:val="-1"/>
          <w:sz w:val="28"/>
          <w:szCs w:val="28"/>
        </w:rPr>
        <w:t>建设绿色矿山是新形势下矿业</w:t>
      </w:r>
      <w:r>
        <w:rPr>
          <w:rFonts w:hint="eastAsia" w:ascii="宋体" w:hAnsi="宋体" w:eastAsia="宋体" w:cs="宋体"/>
          <w:spacing w:val="-1"/>
          <w:sz w:val="28"/>
          <w:szCs w:val="28"/>
          <w:lang w:val="en-US" w:eastAsia="zh-CN"/>
        </w:rPr>
        <w:t>发展</w:t>
      </w:r>
      <w:r>
        <w:rPr>
          <w:rFonts w:hint="eastAsia" w:ascii="宋体" w:hAnsi="宋体" w:eastAsia="宋体" w:cs="宋体"/>
          <w:spacing w:val="-1"/>
          <w:sz w:val="28"/>
          <w:szCs w:val="28"/>
        </w:rPr>
        <w:t>可持续健康的必由之路，是实现科学发展、社会和谐的必然选择。大力推进绿色矿山建设是贯彻落实科学发展观，实现资源利用与矿山发展相协调的重要举措，对建设资源节约</w:t>
      </w:r>
      <w:r>
        <w:rPr>
          <w:rFonts w:hint="eastAsia" w:ascii="宋体" w:hAnsi="宋体" w:eastAsia="宋体" w:cs="宋体"/>
          <w:spacing w:val="-2"/>
          <w:sz w:val="28"/>
          <w:szCs w:val="28"/>
        </w:rPr>
        <w:t>型和环境友好型社会具有重要意义。</w:t>
      </w:r>
    </w:p>
    <w:p w14:paraId="0C8E7343">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2" w:firstLineChars="200"/>
        <w:jc w:val="both"/>
        <w:textAlignment w:val="baseline"/>
        <w:rPr>
          <w:rFonts w:hint="eastAsia" w:ascii="宋体" w:hAnsi="宋体" w:eastAsia="宋体" w:cs="宋体"/>
          <w:sz w:val="28"/>
          <w:szCs w:val="28"/>
        </w:rPr>
      </w:pPr>
      <w:r>
        <w:rPr>
          <w:rFonts w:hint="eastAsia" w:ascii="宋体" w:hAnsi="宋体" w:eastAsia="宋体" w:cs="宋体"/>
          <w:spacing w:val="-2"/>
          <w:sz w:val="28"/>
          <w:szCs w:val="28"/>
        </w:rPr>
        <w:t>同时绿色矿山建设是企业履行责任、谋求自身可持续发展、主动适应</w:t>
      </w:r>
      <w:r>
        <w:rPr>
          <w:rFonts w:hint="eastAsia" w:ascii="宋体" w:hAnsi="宋体" w:eastAsia="宋体" w:cs="宋体"/>
          <w:spacing w:val="-3"/>
          <w:sz w:val="28"/>
          <w:szCs w:val="28"/>
        </w:rPr>
        <w:t>国家生态文明要求和经济高质量发展的必然选择。</w:t>
      </w:r>
    </w:p>
    <w:p w14:paraId="1B9BC91B">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2" w:firstLineChars="200"/>
        <w:jc w:val="both"/>
        <w:textAlignment w:val="baseline"/>
        <w:rPr>
          <w:rFonts w:hint="eastAsia" w:ascii="宋体" w:hAnsi="宋体" w:eastAsia="宋体" w:cs="宋体"/>
          <w:sz w:val="28"/>
          <w:szCs w:val="28"/>
        </w:rPr>
      </w:pPr>
      <w:r>
        <w:rPr>
          <w:rFonts w:hint="eastAsia" w:ascii="宋体" w:hAnsi="宋体" w:eastAsia="宋体" w:cs="宋体"/>
          <w:spacing w:val="-2"/>
          <w:sz w:val="28"/>
          <w:szCs w:val="28"/>
        </w:rPr>
        <w:t>（二）绿色矿山建设的规划任务</w:t>
      </w:r>
    </w:p>
    <w:p w14:paraId="684DFCA7">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z w:val="28"/>
          <w:szCs w:val="28"/>
        </w:rPr>
      </w:pPr>
      <w:r>
        <w:rPr>
          <w:rFonts w:hint="eastAsia" w:ascii="宋体" w:hAnsi="宋体" w:eastAsia="宋体" w:cs="宋体"/>
          <w:spacing w:val="-1"/>
          <w:sz w:val="28"/>
          <w:szCs w:val="28"/>
        </w:rPr>
        <w:t>从矿区环境、资源开采方式、三率三废、节能减排等方面对矿山进行绿色矿山建设，严格按照相关法律法规进行开</w:t>
      </w:r>
      <w:r>
        <w:rPr>
          <w:rFonts w:hint="eastAsia" w:ascii="宋体" w:hAnsi="宋体" w:eastAsia="宋体" w:cs="宋体"/>
          <w:spacing w:val="-2"/>
          <w:sz w:val="28"/>
          <w:szCs w:val="28"/>
        </w:rPr>
        <w:t>采。</w:t>
      </w:r>
    </w:p>
    <w:p w14:paraId="249A8C04">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8" w:firstLineChars="200"/>
        <w:jc w:val="both"/>
        <w:textAlignment w:val="baseline"/>
        <w:rPr>
          <w:rFonts w:hint="eastAsia" w:ascii="宋体" w:hAnsi="宋体" w:eastAsia="宋体" w:cs="宋体"/>
          <w:sz w:val="28"/>
          <w:szCs w:val="28"/>
        </w:rPr>
      </w:pPr>
      <w:r>
        <w:rPr>
          <w:rFonts w:hint="eastAsia" w:ascii="宋体" w:hAnsi="宋体" w:eastAsia="宋体" w:cs="宋体"/>
          <w:spacing w:val="-3"/>
          <w:sz w:val="28"/>
          <w:szCs w:val="28"/>
        </w:rPr>
        <w:t>按照《新疆维吾尔自治区绿色矿山建设管理办法》</w:t>
      </w:r>
      <w:r>
        <w:rPr>
          <w:rFonts w:hint="eastAsia" w:ascii="宋体" w:hAnsi="宋体" w:eastAsia="宋体" w:cs="宋体"/>
          <w:spacing w:val="-63"/>
          <w:sz w:val="28"/>
          <w:szCs w:val="28"/>
        </w:rPr>
        <w:t xml:space="preserve"> </w:t>
      </w:r>
      <w:r>
        <w:rPr>
          <w:rFonts w:hint="eastAsia" w:ascii="宋体" w:hAnsi="宋体" w:eastAsia="宋体" w:cs="宋体"/>
          <w:spacing w:val="-3"/>
          <w:sz w:val="28"/>
          <w:szCs w:val="28"/>
        </w:rPr>
        <w:t>(新国土资发〔201</w:t>
      </w:r>
      <w:r>
        <w:rPr>
          <w:rFonts w:hint="eastAsia" w:ascii="宋体" w:hAnsi="宋体" w:eastAsia="宋体" w:cs="宋体"/>
          <w:sz w:val="28"/>
          <w:szCs w:val="28"/>
        </w:rPr>
        <w:t xml:space="preserve"> 8〕94号）</w:t>
      </w:r>
      <w:r>
        <w:rPr>
          <w:rFonts w:hint="eastAsia" w:ascii="宋体" w:hAnsi="宋体" w:eastAsia="宋体" w:cs="宋体"/>
          <w:spacing w:val="-1"/>
          <w:sz w:val="28"/>
          <w:szCs w:val="28"/>
        </w:rPr>
        <w:t>等相关规定，本矿作如下规划：</w:t>
      </w:r>
    </w:p>
    <w:p w14:paraId="2875E69E">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4" w:firstLineChars="200"/>
        <w:jc w:val="both"/>
        <w:textAlignment w:val="baseline"/>
        <w:rPr>
          <w:rFonts w:hint="eastAsia" w:ascii="宋体" w:hAnsi="宋体" w:eastAsia="宋体" w:cs="宋体"/>
          <w:sz w:val="28"/>
          <w:szCs w:val="28"/>
        </w:rPr>
      </w:pPr>
      <w:r>
        <w:rPr>
          <w:rFonts w:hint="eastAsia" w:ascii="宋体" w:hAnsi="宋体" w:eastAsia="宋体" w:cs="宋体"/>
          <w:spacing w:val="-4"/>
          <w:sz w:val="28"/>
          <w:szCs w:val="28"/>
        </w:rPr>
        <w:t>1、提高回采率</w:t>
      </w:r>
    </w:p>
    <w:p w14:paraId="2AE727FA">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z w:val="28"/>
          <w:szCs w:val="28"/>
        </w:rPr>
      </w:pPr>
      <w:r>
        <w:rPr>
          <w:rFonts w:hint="eastAsia" w:ascii="宋体" w:hAnsi="宋体" w:eastAsia="宋体" w:cs="宋体"/>
          <w:spacing w:val="-1"/>
          <w:sz w:val="28"/>
          <w:szCs w:val="28"/>
        </w:rPr>
        <w:t>针对矿体形态，适时调整生产布局，尽可能使开采境界内矿石最大限</w:t>
      </w:r>
      <w:r>
        <w:rPr>
          <w:rFonts w:hint="eastAsia" w:ascii="宋体" w:hAnsi="宋体" w:eastAsia="宋体" w:cs="宋体"/>
          <w:spacing w:val="-5"/>
          <w:sz w:val="28"/>
          <w:szCs w:val="28"/>
        </w:rPr>
        <w:t>度采出。</w:t>
      </w:r>
    </w:p>
    <w:p w14:paraId="18EF947E">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2" w:firstLineChars="200"/>
        <w:jc w:val="both"/>
        <w:textAlignment w:val="baseline"/>
        <w:rPr>
          <w:rFonts w:hint="eastAsia" w:ascii="宋体" w:hAnsi="宋体" w:eastAsia="宋体" w:cs="宋体"/>
          <w:sz w:val="28"/>
          <w:szCs w:val="28"/>
        </w:rPr>
      </w:pPr>
      <w:r>
        <w:rPr>
          <w:rFonts w:hint="eastAsia" w:ascii="宋体" w:hAnsi="宋体" w:eastAsia="宋体" w:cs="宋体"/>
          <w:spacing w:val="-2"/>
          <w:sz w:val="28"/>
          <w:szCs w:val="28"/>
        </w:rPr>
        <w:t>2、合理布局，把矿山生产、环境保护、土地</w:t>
      </w:r>
      <w:r>
        <w:rPr>
          <w:rFonts w:hint="eastAsia" w:ascii="宋体" w:hAnsi="宋体" w:eastAsia="宋体" w:cs="宋体"/>
          <w:spacing w:val="-3"/>
          <w:sz w:val="28"/>
          <w:szCs w:val="28"/>
        </w:rPr>
        <w:t>复垦有序结合在一起，</w:t>
      </w:r>
      <w:r>
        <w:rPr>
          <w:rFonts w:hint="eastAsia" w:ascii="宋体" w:hAnsi="宋体" w:eastAsia="宋体" w:cs="宋体"/>
          <w:spacing w:val="-2"/>
          <w:sz w:val="28"/>
          <w:szCs w:val="28"/>
        </w:rPr>
        <w:t>减少重复工作，节约资源，节约空间。</w:t>
      </w:r>
    </w:p>
    <w:p w14:paraId="6E9EC2FF">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8" w:firstLineChars="200"/>
        <w:jc w:val="both"/>
        <w:textAlignment w:val="baseline"/>
        <w:rPr>
          <w:rFonts w:hint="eastAsia" w:ascii="宋体" w:hAnsi="宋体" w:eastAsia="宋体" w:cs="宋体"/>
          <w:spacing w:val="-3"/>
          <w:sz w:val="28"/>
          <w:szCs w:val="28"/>
        </w:rPr>
      </w:pPr>
      <w:r>
        <w:rPr>
          <w:rFonts w:hint="eastAsia" w:ascii="宋体" w:hAnsi="宋体" w:eastAsia="宋体" w:cs="宋体"/>
          <w:spacing w:val="-3"/>
          <w:sz w:val="28"/>
          <w:szCs w:val="28"/>
        </w:rPr>
        <w:t>3、矿部生活区绿化力度加大，生活垃圾规范处理，美化生活区环境。</w:t>
      </w:r>
    </w:p>
    <w:p w14:paraId="6488BF0F">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8" w:firstLineChars="200"/>
        <w:jc w:val="both"/>
        <w:textAlignment w:val="baseline"/>
        <w:rPr>
          <w:rFonts w:hint="eastAsia" w:ascii="宋体" w:hAnsi="宋体" w:eastAsia="宋体" w:cs="宋体"/>
          <w:spacing w:val="-3"/>
          <w:sz w:val="28"/>
          <w:szCs w:val="28"/>
        </w:rPr>
      </w:pPr>
      <w:r>
        <w:rPr>
          <w:rFonts w:hint="eastAsia" w:ascii="宋体" w:hAnsi="宋体" w:eastAsia="宋体" w:cs="宋体"/>
          <w:spacing w:val="-3"/>
          <w:sz w:val="28"/>
          <w:szCs w:val="28"/>
        </w:rPr>
        <w:t>4、增设必要的警示、提示标识。</w:t>
      </w:r>
    </w:p>
    <w:p w14:paraId="42A1E094">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8" w:firstLineChars="200"/>
        <w:jc w:val="both"/>
        <w:textAlignment w:val="baseline"/>
        <w:rPr>
          <w:rFonts w:hint="eastAsia" w:ascii="宋体" w:hAnsi="宋体" w:eastAsia="宋体" w:cs="宋体"/>
          <w:spacing w:val="-3"/>
          <w:sz w:val="28"/>
          <w:szCs w:val="28"/>
        </w:rPr>
      </w:pPr>
      <w:r>
        <w:rPr>
          <w:rFonts w:hint="eastAsia" w:ascii="宋体" w:hAnsi="宋体" w:eastAsia="宋体" w:cs="宋体"/>
          <w:spacing w:val="-3"/>
          <w:sz w:val="28"/>
          <w:szCs w:val="28"/>
        </w:rPr>
        <w:t>5、应建立矿山开采、砂石生产、产品运输全过程能耗核算体系,各工艺电力消耗、油(气)消耗、水消耗宜进行单独核算。</w:t>
      </w:r>
    </w:p>
    <w:p w14:paraId="496B5CCF">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8" w:firstLineChars="200"/>
        <w:jc w:val="both"/>
        <w:textAlignment w:val="baseline"/>
        <w:rPr>
          <w:rFonts w:hint="eastAsia" w:ascii="宋体" w:hAnsi="宋体" w:eastAsia="宋体" w:cs="宋体"/>
          <w:spacing w:val="-3"/>
          <w:sz w:val="28"/>
          <w:szCs w:val="28"/>
        </w:rPr>
      </w:pPr>
      <w:r>
        <w:rPr>
          <w:rFonts w:hint="eastAsia" w:ascii="宋体" w:hAnsi="宋体" w:eastAsia="宋体" w:cs="宋体"/>
          <w:spacing w:val="-3"/>
          <w:sz w:val="28"/>
          <w:szCs w:val="28"/>
        </w:rPr>
        <w:t>应依据国家发改委《国家重点节能技术推广目录》、工业与信息化部《高耗能落后机电设备(产品)淘汰目录》和《节能机电设备(产品)推荐目录》等指导文件,选用高效、智能、绿色、环保的技术和设备，降低单位电耗。</w:t>
      </w:r>
    </w:p>
    <w:p w14:paraId="4B0221B3">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8" w:firstLineChars="200"/>
        <w:jc w:val="both"/>
        <w:textAlignment w:val="baseline"/>
        <w:rPr>
          <w:rFonts w:hint="eastAsia" w:ascii="宋体" w:hAnsi="宋体" w:eastAsia="宋体" w:cs="宋体"/>
          <w:spacing w:val="-3"/>
          <w:sz w:val="28"/>
          <w:szCs w:val="28"/>
        </w:rPr>
      </w:pPr>
      <w:r>
        <w:rPr>
          <w:rFonts w:hint="eastAsia" w:ascii="宋体" w:hAnsi="宋体" w:eastAsia="宋体" w:cs="宋体"/>
          <w:spacing w:val="-3"/>
          <w:sz w:val="28"/>
          <w:szCs w:val="28"/>
        </w:rPr>
        <w:t>6、根据非金属行业绿色矿山建设规范要求，砂石矿露天开采回采率大于等于95%，本矿山设计回采率9</w:t>
      </w:r>
      <w:r>
        <w:rPr>
          <w:rFonts w:hint="eastAsia" w:ascii="宋体" w:hAnsi="宋体" w:eastAsia="宋体" w:cs="宋体"/>
          <w:spacing w:val="-3"/>
          <w:sz w:val="28"/>
          <w:szCs w:val="28"/>
          <w:lang w:val="en-US" w:eastAsia="zh-CN"/>
        </w:rPr>
        <w:t>7</w:t>
      </w:r>
      <w:r>
        <w:rPr>
          <w:rFonts w:hint="eastAsia" w:ascii="宋体" w:hAnsi="宋体" w:eastAsia="宋体" w:cs="宋体"/>
          <w:spacing w:val="-3"/>
          <w:sz w:val="28"/>
          <w:szCs w:val="28"/>
        </w:rPr>
        <w:t>%，满足砂石矿露天开采回采率要求。</w:t>
      </w:r>
    </w:p>
    <w:p w14:paraId="42E4C4F5">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8" w:firstLineChars="200"/>
        <w:jc w:val="both"/>
        <w:textAlignment w:val="baseline"/>
        <w:rPr>
          <w:rFonts w:hint="eastAsia" w:ascii="宋体" w:hAnsi="宋体" w:eastAsia="宋体" w:cs="宋体"/>
          <w:sz w:val="28"/>
          <w:szCs w:val="28"/>
        </w:rPr>
      </w:pPr>
      <w:r>
        <w:rPr>
          <w:rFonts w:hint="eastAsia" w:ascii="宋体" w:hAnsi="宋体" w:eastAsia="宋体" w:cs="宋体"/>
          <w:spacing w:val="-3"/>
          <w:sz w:val="28"/>
          <w:szCs w:val="28"/>
        </w:rPr>
        <w:t>（三）保障措施</w:t>
      </w:r>
    </w:p>
    <w:p w14:paraId="7FF9FE47">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pacing w:val="-1"/>
          <w:sz w:val="28"/>
          <w:szCs w:val="28"/>
          <w:lang w:val="en-US" w:eastAsia="zh-CN"/>
        </w:rPr>
      </w:pPr>
      <w:r>
        <w:rPr>
          <w:rFonts w:hint="eastAsia" w:ascii="宋体" w:hAnsi="宋体" w:eastAsia="宋体" w:cs="宋体"/>
          <w:spacing w:val="-1"/>
          <w:sz w:val="28"/>
          <w:szCs w:val="28"/>
          <w:lang w:val="en-US" w:eastAsia="zh-CN"/>
        </w:rPr>
        <w:t>矿山健全相关管理机构和组织、加强对绿色矿山建设的举措、并每年计提部分资金用作矿山绿色建设费用等。</w:t>
      </w:r>
    </w:p>
    <w:p w14:paraId="3D375BEC">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26" w:firstLineChars="200"/>
        <w:jc w:val="both"/>
        <w:textAlignment w:val="baseline"/>
        <w:outlineLvl w:val="1"/>
        <w:rPr>
          <w:rFonts w:hint="eastAsia" w:ascii="宋体" w:hAnsi="宋体" w:eastAsia="宋体" w:cs="宋体"/>
          <w:b/>
          <w:bCs/>
          <w:spacing w:val="-9"/>
          <w:sz w:val="28"/>
          <w:szCs w:val="28"/>
        </w:rPr>
      </w:pPr>
      <w:r>
        <w:rPr>
          <w:rFonts w:hint="eastAsia" w:ascii="宋体" w:hAnsi="宋体" w:eastAsia="宋体" w:cs="宋体"/>
          <w:b/>
          <w:bCs/>
          <w:spacing w:val="-9"/>
          <w:sz w:val="28"/>
          <w:szCs w:val="28"/>
          <w:lang w:val="en-US" w:eastAsia="zh-CN"/>
        </w:rPr>
        <w:t>六</w:t>
      </w:r>
      <w:r>
        <w:rPr>
          <w:rFonts w:hint="eastAsia" w:ascii="宋体" w:hAnsi="宋体" w:eastAsia="宋体" w:cs="宋体"/>
          <w:b/>
          <w:bCs/>
          <w:spacing w:val="-9"/>
          <w:sz w:val="28"/>
          <w:szCs w:val="28"/>
        </w:rPr>
        <w:t>、矿区地质环境治理恢复</w:t>
      </w:r>
    </w:p>
    <w:p w14:paraId="5B91B326">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pacing w:val="-1"/>
          <w:sz w:val="28"/>
          <w:szCs w:val="28"/>
          <w:lang w:val="en-US" w:eastAsia="zh-CN"/>
        </w:rPr>
      </w:pPr>
      <w:r>
        <w:rPr>
          <w:rFonts w:hint="eastAsia" w:ascii="宋体" w:hAnsi="宋体" w:eastAsia="宋体" w:cs="宋体"/>
          <w:spacing w:val="-1"/>
          <w:sz w:val="28"/>
          <w:szCs w:val="28"/>
          <w:lang w:val="en-US" w:eastAsia="zh-CN"/>
        </w:rPr>
        <w:t>本次工作查明了矿山环境现状，分析了矿山环境发展趋势，其论述内容基本全面，结论基本正确。</w:t>
      </w:r>
    </w:p>
    <w:p w14:paraId="62396939">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8" w:firstLineChars="200"/>
        <w:jc w:val="both"/>
        <w:textAlignment w:val="baseline"/>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确定了矿山环境保护与治理恢复的原则、目标和任务，对矿区进行了矿山环境保护与治理恢复分区，并提出了具体的保护、治理以及监测方案，并进行了经费概算。</w:t>
      </w:r>
    </w:p>
    <w:p w14:paraId="4ACBAEDC">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72" w:firstLineChars="200"/>
        <w:jc w:val="both"/>
        <w:textAlignment w:val="baseline"/>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设计在露天采矿场地表境界外10米设置铁丝围栏和警示牌，防止人、畜误入造成危害，警示人员注意安全。设置铁丝围栏长度1400米，警示牌14块。并通过人工日常巡检，针对后期可能出现的少量危石，在矿山生产统一调度下可实现开采一段，治理一段，保障采治同步工作有序、高效进行。</w:t>
      </w:r>
    </w:p>
    <w:p w14:paraId="4522958C">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2" w:firstLineChars="200"/>
        <w:jc w:val="both"/>
        <w:textAlignment w:val="baseline"/>
        <w:outlineLvl w:val="1"/>
        <w:rPr>
          <w:rFonts w:hint="eastAsia" w:ascii="宋体" w:hAnsi="宋体" w:eastAsia="宋体" w:cs="宋体"/>
          <w:sz w:val="28"/>
          <w:szCs w:val="28"/>
        </w:rPr>
      </w:pPr>
      <w:r>
        <w:rPr>
          <w:rFonts w:hint="eastAsia" w:ascii="宋体" w:hAnsi="宋体" w:eastAsia="宋体" w:cs="宋体"/>
          <w:b/>
          <w:bCs/>
          <w:spacing w:val="-5"/>
          <w:sz w:val="28"/>
          <w:szCs w:val="28"/>
          <w:lang w:val="en-US" w:eastAsia="zh-CN"/>
        </w:rPr>
        <w:t>七</w:t>
      </w:r>
      <w:r>
        <w:rPr>
          <w:rFonts w:hint="eastAsia" w:ascii="宋体" w:hAnsi="宋体" w:eastAsia="宋体" w:cs="宋体"/>
          <w:b/>
          <w:bCs/>
          <w:spacing w:val="-5"/>
          <w:sz w:val="28"/>
          <w:szCs w:val="28"/>
        </w:rPr>
        <w:t>、矿区土地复垦</w:t>
      </w:r>
    </w:p>
    <w:p w14:paraId="4DB345F9">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8" w:firstLineChars="200"/>
        <w:jc w:val="both"/>
        <w:textAlignment w:val="baseline"/>
        <w:rPr>
          <w:rFonts w:hint="eastAsia" w:ascii="宋体" w:hAnsi="宋体" w:eastAsia="宋体" w:cs="宋体"/>
          <w:spacing w:val="-3"/>
          <w:sz w:val="28"/>
          <w:szCs w:val="28"/>
        </w:rPr>
      </w:pPr>
      <w:r>
        <w:rPr>
          <w:rFonts w:hint="eastAsia" w:ascii="宋体" w:hAnsi="宋体" w:eastAsia="宋体" w:cs="宋体"/>
          <w:spacing w:val="-3"/>
          <w:sz w:val="28"/>
          <w:szCs w:val="28"/>
        </w:rPr>
        <w:t>1、矿区土地利用现状</w:t>
      </w:r>
    </w:p>
    <w:p w14:paraId="4B485667">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6" w:firstLineChars="200"/>
        <w:jc w:val="both"/>
        <w:textAlignment w:val="baseline"/>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经实地踏勘调查，焉耆县自然资源局查询，矿区面积为8.1533hm</w:t>
      </w:r>
      <w:r>
        <w:rPr>
          <w:rFonts w:hint="eastAsia" w:ascii="宋体" w:hAnsi="宋体" w:eastAsia="宋体" w:cs="宋体"/>
          <w:spacing w:val="-6"/>
          <w:sz w:val="28"/>
          <w:szCs w:val="28"/>
          <w:vertAlign w:val="superscript"/>
          <w:lang w:val="en-US" w:eastAsia="zh-CN"/>
        </w:rPr>
        <w:t>2</w:t>
      </w:r>
      <w:r>
        <w:rPr>
          <w:rFonts w:hint="eastAsia" w:ascii="宋体" w:hAnsi="宋体" w:eastAsia="宋体" w:cs="宋体"/>
          <w:spacing w:val="-6"/>
          <w:sz w:val="28"/>
          <w:szCs w:val="28"/>
          <w:lang w:val="en-US" w:eastAsia="zh-CN"/>
        </w:rPr>
        <w:t>，矿区土地利用类型为农用地中的沟渠0.1733hm</w:t>
      </w:r>
      <w:r>
        <w:rPr>
          <w:rFonts w:hint="eastAsia" w:ascii="宋体" w:hAnsi="宋体" w:eastAsia="宋体" w:cs="宋体"/>
          <w:spacing w:val="-6"/>
          <w:sz w:val="28"/>
          <w:szCs w:val="28"/>
          <w:vertAlign w:val="superscript"/>
          <w:lang w:val="en-US" w:eastAsia="zh-CN"/>
        </w:rPr>
        <w:t>2</w:t>
      </w:r>
      <w:r>
        <w:rPr>
          <w:rFonts w:hint="eastAsia" w:ascii="宋体" w:hAnsi="宋体" w:eastAsia="宋体" w:cs="宋体"/>
          <w:spacing w:val="-6"/>
          <w:sz w:val="28"/>
          <w:szCs w:val="28"/>
          <w:lang w:val="en-US" w:eastAsia="zh-CN"/>
        </w:rPr>
        <w:t>；未利用地中的裸岩石砾地7.98hm</w:t>
      </w:r>
      <w:r>
        <w:rPr>
          <w:rFonts w:hint="eastAsia" w:ascii="宋体" w:hAnsi="宋体" w:eastAsia="宋体" w:cs="宋体"/>
          <w:spacing w:val="-6"/>
          <w:sz w:val="28"/>
          <w:szCs w:val="28"/>
          <w:vertAlign w:val="superscript"/>
          <w:lang w:val="en-US" w:eastAsia="zh-CN"/>
        </w:rPr>
        <w:t>2</w:t>
      </w:r>
      <w:r>
        <w:rPr>
          <w:rFonts w:hint="eastAsia" w:ascii="宋体" w:hAnsi="宋体" w:eastAsia="宋体" w:cs="宋体"/>
          <w:spacing w:val="-6"/>
          <w:sz w:val="28"/>
          <w:szCs w:val="28"/>
          <w:lang w:val="en-US" w:eastAsia="zh-CN"/>
        </w:rPr>
        <w:t>。矿区范围内无耕地存在，不涉及基本农田。土地性质为国有。</w:t>
      </w:r>
    </w:p>
    <w:p w14:paraId="79E62925">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6" w:firstLineChars="200"/>
        <w:jc w:val="both"/>
        <w:textAlignment w:val="baseline"/>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2、矿区土地损毁评估</w:t>
      </w:r>
    </w:p>
    <w:p w14:paraId="54736C96">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6" w:firstLineChars="200"/>
        <w:jc w:val="both"/>
        <w:textAlignment w:val="baseline"/>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主要损毁土地是矿部生活区、工业广场、矿山道路的压占，预测对土地资源的持续损毁面积为0.4945公顷。露天采场后期持续对土地进行挖损，损毁土地3.1公顷。预测矿区活动对土地损毁程度为“重度”。</w:t>
      </w:r>
    </w:p>
    <w:p w14:paraId="3E85D1B9">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6" w:firstLineChars="200"/>
        <w:jc w:val="both"/>
        <w:textAlignment w:val="baseline"/>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3、土地复垦区与复垦责任范围</w:t>
      </w:r>
    </w:p>
    <w:p w14:paraId="6E582E82">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6" w:firstLineChars="200"/>
        <w:jc w:val="both"/>
        <w:textAlignment w:val="baseline"/>
        <w:rPr>
          <w:rFonts w:hint="eastAsia" w:ascii="宋体" w:hAnsi="宋体" w:eastAsia="宋体" w:cs="宋体"/>
          <w:spacing w:val="-1"/>
          <w:sz w:val="28"/>
          <w:szCs w:val="28"/>
        </w:rPr>
      </w:pPr>
      <w:r>
        <w:rPr>
          <w:rFonts w:hint="eastAsia" w:ascii="宋体" w:hAnsi="宋体" w:eastAsia="宋体" w:cs="宋体"/>
          <w:spacing w:val="-6"/>
          <w:sz w:val="28"/>
          <w:szCs w:val="28"/>
          <w:lang w:val="en-US" w:eastAsia="zh-CN"/>
        </w:rPr>
        <w:t>本次方案复垦区面积为3.5945hm</w:t>
      </w:r>
      <w:r>
        <w:rPr>
          <w:rFonts w:hint="eastAsia" w:ascii="宋体" w:hAnsi="宋体" w:eastAsia="宋体" w:cs="宋体"/>
          <w:spacing w:val="-6"/>
          <w:sz w:val="28"/>
          <w:szCs w:val="28"/>
          <w:vertAlign w:val="superscript"/>
          <w:lang w:val="en-US" w:eastAsia="zh-CN"/>
        </w:rPr>
        <w:t>2</w:t>
      </w:r>
      <w:r>
        <w:rPr>
          <w:rFonts w:hint="eastAsia" w:ascii="宋体" w:hAnsi="宋体" w:eastAsia="宋体" w:cs="宋体"/>
          <w:spacing w:val="-6"/>
          <w:sz w:val="28"/>
          <w:szCs w:val="28"/>
          <w:lang w:val="en-US" w:eastAsia="zh-CN"/>
        </w:rPr>
        <w:t>，共分为矿部生活区、工业广场、矿山道路和露天采场。</w:t>
      </w:r>
      <w:r>
        <w:rPr>
          <w:rFonts w:hint="eastAsia" w:ascii="宋体" w:hAnsi="宋体" w:eastAsia="宋体" w:cs="宋体"/>
          <w:spacing w:val="2"/>
          <w:sz w:val="28"/>
          <w:szCs w:val="28"/>
        </w:rPr>
        <w:t>损毁土</w:t>
      </w:r>
      <w:r>
        <w:rPr>
          <w:rFonts w:hint="eastAsia" w:ascii="宋体" w:hAnsi="宋体" w:eastAsia="宋体" w:cs="宋体"/>
          <w:spacing w:val="-1"/>
          <w:sz w:val="28"/>
          <w:szCs w:val="28"/>
        </w:rPr>
        <w:t>地全部纳入土地复垦责任范围，土地复垦率100%。</w:t>
      </w:r>
    </w:p>
    <w:p w14:paraId="6DCC67A6">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z w:val="28"/>
          <w:szCs w:val="28"/>
        </w:rPr>
      </w:pPr>
      <w:r>
        <w:rPr>
          <w:rFonts w:hint="eastAsia" w:ascii="宋体" w:hAnsi="宋体" w:eastAsia="宋体" w:cs="宋体"/>
          <w:spacing w:val="-1"/>
          <w:sz w:val="28"/>
          <w:szCs w:val="28"/>
        </w:rPr>
        <w:t>4、矿区土地适宜性评价</w:t>
      </w:r>
    </w:p>
    <w:p w14:paraId="56614D2E">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8" w:firstLineChars="200"/>
        <w:jc w:val="both"/>
        <w:textAlignment w:val="baseline"/>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拟对复垦区土地全区进行复垦，土地复垦率100%，复垦土地类型为裸岩石砾地。从而保护生态环境，合理利用土地，实现土地资源的可持续利用，促进经济和环境和谐发展。</w:t>
      </w:r>
    </w:p>
    <w:p w14:paraId="0247DA9B">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pacing w:val="-1"/>
          <w:sz w:val="28"/>
          <w:szCs w:val="28"/>
        </w:rPr>
      </w:pPr>
      <w:r>
        <w:rPr>
          <w:rFonts w:hint="eastAsia" w:ascii="宋体" w:hAnsi="宋体" w:eastAsia="宋体" w:cs="宋体"/>
          <w:spacing w:val="-1"/>
          <w:sz w:val="28"/>
          <w:szCs w:val="28"/>
          <w:lang w:val="en-US" w:eastAsia="zh-CN"/>
        </w:rPr>
        <w:t>5</w:t>
      </w:r>
      <w:r>
        <w:rPr>
          <w:rFonts w:hint="eastAsia" w:ascii="宋体" w:hAnsi="宋体" w:eastAsia="宋体" w:cs="宋体"/>
          <w:spacing w:val="-1"/>
          <w:sz w:val="28"/>
          <w:szCs w:val="28"/>
        </w:rPr>
        <w:t>、土地复垦工程措施</w:t>
      </w:r>
    </w:p>
    <w:p w14:paraId="4B67D1B0">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pacing w:val="-1"/>
          <w:sz w:val="28"/>
          <w:szCs w:val="28"/>
          <w:lang w:val="en-US" w:eastAsia="zh-CN"/>
        </w:rPr>
      </w:pPr>
      <w:r>
        <w:rPr>
          <w:rFonts w:hint="eastAsia" w:ascii="宋体" w:hAnsi="宋体" w:eastAsia="宋体" w:cs="宋体"/>
          <w:spacing w:val="-1"/>
          <w:sz w:val="28"/>
          <w:szCs w:val="28"/>
          <w:lang w:val="en-US" w:eastAsia="zh-CN"/>
        </w:rPr>
        <w:t>针对矿部生活区、露天采场、工业广场和矿山道路实施砌体拆除、砌体拉运，针对全部损毁区进行土地平整工程。</w:t>
      </w:r>
    </w:p>
    <w:p w14:paraId="4999D1F9">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2" w:firstLineChars="200"/>
        <w:jc w:val="both"/>
        <w:textAlignment w:val="baseline"/>
        <w:rPr>
          <w:rFonts w:hint="eastAsia" w:ascii="宋体" w:hAnsi="宋体" w:eastAsia="宋体" w:cs="宋体"/>
          <w:spacing w:val="-2"/>
          <w:sz w:val="28"/>
          <w:szCs w:val="28"/>
        </w:rPr>
      </w:pPr>
      <w:r>
        <w:rPr>
          <w:rFonts w:hint="eastAsia" w:ascii="宋体" w:hAnsi="宋体" w:eastAsia="宋体" w:cs="宋体"/>
          <w:spacing w:val="-2"/>
          <w:sz w:val="28"/>
          <w:szCs w:val="28"/>
          <w:lang w:val="en-US" w:eastAsia="zh-CN"/>
        </w:rPr>
        <w:t>6</w:t>
      </w:r>
      <w:r>
        <w:rPr>
          <w:rFonts w:hint="eastAsia" w:ascii="宋体" w:hAnsi="宋体" w:eastAsia="宋体" w:cs="宋体"/>
          <w:spacing w:val="-2"/>
          <w:sz w:val="28"/>
          <w:szCs w:val="28"/>
        </w:rPr>
        <w:t>、土地复垦监测</w:t>
      </w:r>
    </w:p>
    <w:p w14:paraId="2AA5BE5F">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2" w:firstLineChars="200"/>
        <w:jc w:val="both"/>
        <w:textAlignment w:val="baseline"/>
        <w:rPr>
          <w:rFonts w:hint="eastAsia" w:ascii="宋体" w:hAnsi="宋体" w:eastAsia="宋体" w:cs="宋体"/>
          <w:spacing w:val="-2"/>
          <w:sz w:val="28"/>
          <w:szCs w:val="28"/>
          <w:lang w:eastAsia="zh-CN"/>
        </w:rPr>
      </w:pPr>
      <w:r>
        <w:rPr>
          <w:rFonts w:hint="eastAsia" w:ascii="宋体" w:hAnsi="宋体" w:eastAsia="宋体" w:cs="宋体"/>
          <w:spacing w:val="-2"/>
          <w:sz w:val="28"/>
          <w:szCs w:val="28"/>
          <w:lang w:val="en-US" w:eastAsia="zh-CN"/>
        </w:rPr>
        <w:t>服务期内对露天采场、水土环境污染、土地损毁情况进行监测。并对地质环境治理和生态系统恢复进行监测，</w:t>
      </w:r>
      <w:r>
        <w:rPr>
          <w:rFonts w:hint="eastAsia" w:ascii="宋体" w:hAnsi="宋体" w:eastAsia="宋体" w:cs="宋体"/>
          <w:spacing w:val="-2"/>
          <w:sz w:val="28"/>
          <w:szCs w:val="28"/>
          <w:lang w:eastAsia="zh-CN"/>
        </w:rPr>
        <w:t>为工程实施与效果评估提供依据。</w:t>
      </w:r>
    </w:p>
    <w:p w14:paraId="37F8F851">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pacing w:val="-1"/>
          <w:sz w:val="28"/>
          <w:szCs w:val="28"/>
        </w:rPr>
      </w:pPr>
      <w:r>
        <w:rPr>
          <w:rFonts w:hint="eastAsia" w:ascii="宋体" w:hAnsi="宋体" w:eastAsia="宋体" w:cs="宋体"/>
          <w:spacing w:val="-1"/>
          <w:sz w:val="28"/>
          <w:szCs w:val="28"/>
          <w:lang w:val="en-US" w:eastAsia="zh-CN"/>
        </w:rPr>
        <w:t>7</w:t>
      </w:r>
      <w:r>
        <w:rPr>
          <w:rFonts w:hint="eastAsia" w:ascii="宋体" w:hAnsi="宋体" w:eastAsia="宋体" w:cs="宋体"/>
          <w:spacing w:val="-1"/>
          <w:sz w:val="28"/>
          <w:szCs w:val="28"/>
        </w:rPr>
        <w:t>、土地复垦阶段工作安排</w:t>
      </w:r>
    </w:p>
    <w:p w14:paraId="1DAD9485">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pacing w:val="-1"/>
          <w:sz w:val="28"/>
          <w:szCs w:val="28"/>
          <w:lang w:val="en-US" w:eastAsia="zh-CN"/>
        </w:rPr>
      </w:pPr>
      <w:r>
        <w:rPr>
          <w:rFonts w:hint="eastAsia" w:ascii="宋体" w:hAnsi="宋体" w:eastAsia="宋体" w:cs="宋体"/>
          <w:spacing w:val="-1"/>
          <w:sz w:val="28"/>
          <w:szCs w:val="28"/>
          <w:lang w:val="en-US" w:eastAsia="zh-CN"/>
        </w:rPr>
        <w:t>生产期（2026年10月-2028年7月）：主要对拟建工程布局进行建设和露天开采活动，同时对其他区域开展监测工程。</w:t>
      </w:r>
    </w:p>
    <w:p w14:paraId="5A37C219">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pacing w:val="-1"/>
          <w:sz w:val="28"/>
          <w:szCs w:val="28"/>
          <w:lang w:val="en-US" w:eastAsia="zh-CN"/>
        </w:rPr>
      </w:pPr>
      <w:r>
        <w:rPr>
          <w:rFonts w:hint="eastAsia" w:ascii="宋体" w:hAnsi="宋体" w:eastAsia="宋体" w:cs="宋体"/>
          <w:spacing w:val="-1"/>
          <w:sz w:val="28"/>
          <w:szCs w:val="28"/>
          <w:lang w:val="en-US" w:eastAsia="zh-CN"/>
        </w:rPr>
        <w:t>生态修复工程实施期（2026年10月-2029年7月）：</w:t>
      </w:r>
      <w:r>
        <w:rPr>
          <w:rFonts w:hint="eastAsia" w:ascii="宋体" w:hAnsi="宋体" w:eastAsia="宋体" w:cs="宋体"/>
          <w:spacing w:val="-1"/>
          <w:sz w:val="28"/>
          <w:szCs w:val="28"/>
          <w:lang w:eastAsia="zh-CN"/>
        </w:rPr>
        <w:t>开采活动全面停止。</w:t>
      </w:r>
      <w:r>
        <w:rPr>
          <w:rFonts w:hint="eastAsia" w:ascii="宋体" w:hAnsi="宋体" w:eastAsia="宋体" w:cs="宋体"/>
          <w:spacing w:val="-1"/>
          <w:sz w:val="28"/>
          <w:szCs w:val="28"/>
          <w:lang w:val="en-US" w:eastAsia="zh-CN"/>
        </w:rPr>
        <w:t>对前面的2个分区开展地貌重塑、土壤重构等综合修复工程。</w:t>
      </w:r>
    </w:p>
    <w:p w14:paraId="592965B7">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8" w:firstLineChars="200"/>
        <w:jc w:val="both"/>
        <w:textAlignment w:val="baseline"/>
        <w:outlineLvl w:val="1"/>
        <w:rPr>
          <w:rFonts w:hint="eastAsia" w:ascii="宋体" w:hAnsi="宋体" w:eastAsia="宋体" w:cs="宋体"/>
          <w:b/>
          <w:bCs/>
          <w:spacing w:val="-6"/>
          <w:sz w:val="28"/>
          <w:szCs w:val="28"/>
        </w:rPr>
      </w:pPr>
      <w:r>
        <w:rPr>
          <w:rFonts w:hint="eastAsia" w:ascii="宋体" w:hAnsi="宋体" w:eastAsia="宋体" w:cs="宋体"/>
          <w:b/>
          <w:bCs/>
          <w:spacing w:val="-6"/>
          <w:sz w:val="28"/>
          <w:szCs w:val="28"/>
          <w:lang w:val="en-US" w:eastAsia="zh-CN"/>
        </w:rPr>
        <w:t>八</w:t>
      </w:r>
      <w:r>
        <w:rPr>
          <w:rFonts w:hint="eastAsia" w:ascii="宋体" w:hAnsi="宋体" w:eastAsia="宋体" w:cs="宋体"/>
          <w:b/>
          <w:bCs/>
          <w:spacing w:val="-6"/>
          <w:sz w:val="28"/>
          <w:szCs w:val="28"/>
        </w:rPr>
        <w:t>、技术经济指标</w:t>
      </w:r>
    </w:p>
    <w:p w14:paraId="7EA2773B">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pacing w:val="-1"/>
          <w:sz w:val="28"/>
          <w:szCs w:val="28"/>
          <w:lang w:val="en-US" w:eastAsia="zh-CN"/>
        </w:rPr>
      </w:pPr>
      <w:r>
        <w:rPr>
          <w:rFonts w:hint="eastAsia" w:ascii="宋体" w:hAnsi="宋体" w:eastAsia="宋体" w:cs="宋体"/>
          <w:spacing w:val="-1"/>
          <w:sz w:val="28"/>
          <w:szCs w:val="28"/>
          <w:lang w:val="en-US" w:eastAsia="zh-CN"/>
        </w:rPr>
        <w:t>经计算，焉耆县疆南城乡投资建设有限责任公司焉耆县建筑用砂27号矿矿区生态修复工程静态总投资为48.07万元，其中：工程施工费21.44万元，监测与管护费用9.05万元，其他费用16.05万元，预备费1.52万元。</w:t>
      </w:r>
    </w:p>
    <w:p w14:paraId="61E1BBE4">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42" w:firstLineChars="200"/>
        <w:jc w:val="both"/>
        <w:textAlignment w:val="baseline"/>
        <w:outlineLvl w:val="1"/>
        <w:rPr>
          <w:rFonts w:hint="eastAsia" w:ascii="宋体" w:hAnsi="宋体" w:eastAsia="宋体" w:cs="宋体"/>
          <w:b/>
          <w:bCs/>
          <w:spacing w:val="-5"/>
          <w:sz w:val="28"/>
          <w:szCs w:val="28"/>
        </w:rPr>
      </w:pPr>
      <w:r>
        <w:rPr>
          <w:rFonts w:hint="eastAsia" w:ascii="宋体" w:hAnsi="宋体" w:eastAsia="宋体" w:cs="宋体"/>
          <w:b/>
          <w:bCs/>
          <w:spacing w:val="-5"/>
          <w:sz w:val="28"/>
          <w:szCs w:val="28"/>
          <w:lang w:val="en-US" w:eastAsia="zh-CN"/>
        </w:rPr>
        <w:t>九</w:t>
      </w:r>
      <w:r>
        <w:rPr>
          <w:rFonts w:hint="eastAsia" w:ascii="宋体" w:hAnsi="宋体" w:eastAsia="宋体" w:cs="宋体"/>
          <w:b/>
          <w:bCs/>
          <w:spacing w:val="-5"/>
          <w:sz w:val="28"/>
          <w:szCs w:val="28"/>
        </w:rPr>
        <w:t>、存在的问题及建议</w:t>
      </w:r>
    </w:p>
    <w:p w14:paraId="097C8470">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z w:val="28"/>
          <w:szCs w:val="28"/>
        </w:rPr>
      </w:pPr>
      <w:r>
        <w:rPr>
          <w:rFonts w:hint="eastAsia" w:ascii="宋体" w:hAnsi="宋体" w:eastAsia="宋体" w:cs="宋体"/>
          <w:spacing w:val="-1"/>
          <w:sz w:val="28"/>
          <w:szCs w:val="28"/>
        </w:rPr>
        <w:t>1、本方案不替代相关的工程勘查、治理设计工作，不能作为恢复治</w:t>
      </w:r>
      <w:r>
        <w:rPr>
          <w:rFonts w:hint="eastAsia" w:ascii="宋体" w:hAnsi="宋体" w:eastAsia="宋体" w:cs="宋体"/>
          <w:spacing w:val="-2"/>
          <w:sz w:val="28"/>
          <w:szCs w:val="28"/>
        </w:rPr>
        <w:t>理与土地复垦工程设计方案使用。</w:t>
      </w:r>
    </w:p>
    <w:p w14:paraId="5C554334">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60" w:firstLineChars="200"/>
        <w:jc w:val="both"/>
        <w:textAlignment w:val="baseline"/>
        <w:rPr>
          <w:rFonts w:hint="eastAsia" w:ascii="宋体" w:hAnsi="宋体" w:eastAsia="宋体" w:cs="宋体"/>
          <w:sz w:val="28"/>
          <w:szCs w:val="28"/>
        </w:rPr>
      </w:pPr>
      <w:r>
        <w:rPr>
          <w:rFonts w:hint="eastAsia" w:ascii="宋体" w:hAnsi="宋体" w:eastAsia="宋体" w:cs="宋体"/>
          <w:sz w:val="28"/>
          <w:szCs w:val="28"/>
        </w:rPr>
        <w:t>2、矿山如扩大生产规模、变更矿区范围或</w:t>
      </w:r>
      <w:r>
        <w:rPr>
          <w:rFonts w:hint="eastAsia" w:ascii="宋体" w:hAnsi="宋体" w:eastAsia="宋体" w:cs="宋体"/>
          <w:spacing w:val="-1"/>
          <w:sz w:val="28"/>
          <w:szCs w:val="28"/>
        </w:rPr>
        <w:t>开采方式，应重新编制矿</w:t>
      </w:r>
      <w:r>
        <w:rPr>
          <w:rFonts w:hint="eastAsia" w:ascii="宋体" w:hAnsi="宋体" w:eastAsia="宋体" w:cs="宋体"/>
          <w:spacing w:val="-2"/>
          <w:sz w:val="28"/>
          <w:szCs w:val="28"/>
        </w:rPr>
        <w:t>产资源开发利用与生态保护修复方案。</w:t>
      </w:r>
    </w:p>
    <w:p w14:paraId="4CEE08B7">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z w:val="28"/>
          <w:szCs w:val="28"/>
        </w:rPr>
      </w:pPr>
      <w:r>
        <w:rPr>
          <w:rFonts w:hint="eastAsia" w:ascii="宋体" w:hAnsi="宋体" w:eastAsia="宋体" w:cs="宋体"/>
          <w:spacing w:val="-1"/>
          <w:sz w:val="28"/>
          <w:szCs w:val="28"/>
        </w:rPr>
        <w:t>3、针对采矿活动可能引发的地质环境问题，建议矿方安排专门的矿</w:t>
      </w:r>
      <w:r>
        <w:rPr>
          <w:rFonts w:hint="eastAsia" w:ascii="宋体" w:hAnsi="宋体" w:eastAsia="宋体" w:cs="宋体"/>
          <w:spacing w:val="-2"/>
          <w:sz w:val="28"/>
          <w:szCs w:val="28"/>
        </w:rPr>
        <w:t>山地质环境恢复治理设计、监测、防治等工</w:t>
      </w:r>
      <w:r>
        <w:rPr>
          <w:rFonts w:hint="eastAsia" w:ascii="宋体" w:hAnsi="宋体" w:eastAsia="宋体" w:cs="宋体"/>
          <w:spacing w:val="-3"/>
          <w:sz w:val="28"/>
          <w:szCs w:val="28"/>
        </w:rPr>
        <w:t>作。</w:t>
      </w:r>
    </w:p>
    <w:p w14:paraId="49BE73A9">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60" w:firstLineChars="200"/>
        <w:jc w:val="both"/>
        <w:textAlignment w:val="baseline"/>
        <w:rPr>
          <w:rFonts w:hint="eastAsia" w:ascii="宋体" w:hAnsi="宋体" w:eastAsia="宋体" w:cs="宋体"/>
          <w:sz w:val="28"/>
          <w:szCs w:val="28"/>
        </w:rPr>
      </w:pPr>
      <w:r>
        <w:rPr>
          <w:rFonts w:hint="eastAsia" w:ascii="宋体" w:hAnsi="宋体" w:eastAsia="宋体" w:cs="宋体"/>
          <w:sz w:val="28"/>
          <w:szCs w:val="28"/>
        </w:rPr>
        <w:t>4、本方案复垦方向主要为恢复原地表土地类型及地</w:t>
      </w:r>
      <w:r>
        <w:rPr>
          <w:rFonts w:hint="eastAsia" w:ascii="宋体" w:hAnsi="宋体" w:eastAsia="宋体" w:cs="宋体"/>
          <w:spacing w:val="-1"/>
          <w:sz w:val="28"/>
          <w:szCs w:val="28"/>
        </w:rPr>
        <w:t>貌景观与周边相协调，若矿方在复垦过程中有实际性要求可局部进行调整。</w:t>
      </w:r>
    </w:p>
    <w:p w14:paraId="2A6589A5">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z w:val="28"/>
          <w:szCs w:val="28"/>
          <w:lang w:val="en-US" w:eastAsia="zh-CN"/>
        </w:rPr>
      </w:pPr>
      <w:r>
        <w:rPr>
          <w:rFonts w:hint="eastAsia" w:ascii="宋体" w:hAnsi="宋体" w:eastAsia="宋体" w:cs="宋体"/>
          <w:spacing w:val="-1"/>
          <w:sz w:val="28"/>
          <w:szCs w:val="28"/>
          <w:lang w:val="en-US" w:eastAsia="zh-CN"/>
        </w:rPr>
        <w:t>5</w:t>
      </w:r>
      <w:r>
        <w:rPr>
          <w:rFonts w:hint="eastAsia" w:ascii="宋体" w:hAnsi="宋体" w:eastAsia="宋体" w:cs="宋体"/>
          <w:spacing w:val="-1"/>
          <w:sz w:val="28"/>
          <w:szCs w:val="28"/>
        </w:rPr>
        <w:t>、本方案设计工程量及投资仅为初步估算，具体实施时应请有资质单位按各项相关工程的设计规定进行设计、施工，并验收合格后投入使用</w:t>
      </w:r>
      <w:r>
        <w:rPr>
          <w:rFonts w:hint="eastAsia" w:ascii="宋体" w:hAnsi="宋体" w:eastAsia="宋体" w:cs="宋体"/>
          <w:spacing w:val="-1"/>
          <w:sz w:val="28"/>
          <w:szCs w:val="28"/>
          <w:lang w:eastAsia="zh-CN"/>
        </w:rPr>
        <w:t>。</w:t>
      </w:r>
    </w:p>
    <w:p w14:paraId="69EE9781">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60" w:firstLineChars="200"/>
        <w:jc w:val="both"/>
        <w:textAlignment w:val="baseline"/>
        <w:rPr>
          <w:rFonts w:hint="eastAsia" w:ascii="宋体" w:hAnsi="宋体" w:eastAsia="宋体" w:cs="宋体"/>
          <w:b/>
          <w:bCs/>
          <w:spacing w:val="-6"/>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、今后若扩大开采规模、变更矿区范围或</w:t>
      </w:r>
      <w:r>
        <w:rPr>
          <w:rFonts w:hint="eastAsia" w:ascii="宋体" w:hAnsi="宋体" w:eastAsia="宋体" w:cs="宋体"/>
          <w:spacing w:val="-1"/>
          <w:sz w:val="28"/>
          <w:szCs w:val="28"/>
        </w:rPr>
        <w:t>者开采方式时，应当重新</w:t>
      </w:r>
      <w:r>
        <w:rPr>
          <w:rFonts w:hint="eastAsia" w:ascii="宋体" w:hAnsi="宋体" w:eastAsia="宋体" w:cs="宋体"/>
          <w:spacing w:val="-4"/>
          <w:sz w:val="28"/>
          <w:szCs w:val="28"/>
        </w:rPr>
        <w:t>编制本方案。</w:t>
      </w:r>
    </w:p>
    <w:p w14:paraId="0CB101C4">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38" w:firstLineChars="200"/>
        <w:jc w:val="both"/>
        <w:textAlignment w:val="baseline"/>
        <w:outlineLvl w:val="1"/>
        <w:rPr>
          <w:rFonts w:hint="eastAsia" w:ascii="宋体" w:hAnsi="宋体" w:eastAsia="宋体" w:cs="宋体"/>
          <w:b/>
          <w:bCs/>
          <w:spacing w:val="-6"/>
          <w:sz w:val="28"/>
          <w:szCs w:val="28"/>
        </w:rPr>
      </w:pPr>
      <w:r>
        <w:rPr>
          <w:rFonts w:hint="eastAsia" w:ascii="宋体" w:hAnsi="宋体" w:eastAsia="宋体" w:cs="宋体"/>
          <w:b/>
          <w:bCs/>
          <w:spacing w:val="-6"/>
          <w:sz w:val="28"/>
          <w:szCs w:val="28"/>
        </w:rPr>
        <w:t>十、评审结论</w:t>
      </w:r>
    </w:p>
    <w:p w14:paraId="4F7F5BC5">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outlineLvl w:val="1"/>
        <w:rPr>
          <w:rFonts w:hint="eastAsia" w:ascii="宋体" w:hAnsi="宋体" w:eastAsia="宋体" w:cs="宋体"/>
          <w:sz w:val="28"/>
          <w:szCs w:val="28"/>
        </w:rPr>
      </w:pPr>
      <w:r>
        <w:rPr>
          <w:rFonts w:hint="eastAsia" w:ascii="宋体" w:hAnsi="宋体" w:eastAsia="宋体" w:cs="宋体"/>
          <w:spacing w:val="-1"/>
          <w:sz w:val="28"/>
          <w:szCs w:val="28"/>
        </w:rPr>
        <w:t>《方案》章节齐全，内容较丰富，项目编制单位按照专家意见对报告进行了补充、修改，编写了详细的修改说明，经专家组评审，符合矿产资源开采与生态修复的有关规定、规范和标准，评审通过。</w:t>
      </w:r>
    </w:p>
    <w:p w14:paraId="2467AC77">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56" w:firstLineChars="200"/>
        <w:jc w:val="both"/>
        <w:textAlignment w:val="baseline"/>
        <w:rPr>
          <w:rFonts w:hint="eastAsia" w:ascii="宋体" w:hAnsi="宋体" w:eastAsia="宋体" w:cs="宋体"/>
          <w:spacing w:val="-9"/>
          <w:sz w:val="28"/>
          <w:szCs w:val="28"/>
          <w:lang w:eastAsia="zh-CN"/>
        </w:rPr>
      </w:pPr>
      <w:r>
        <w:rPr>
          <w:rFonts w:hint="eastAsia" w:ascii="宋体" w:hAnsi="宋体" w:eastAsia="宋体" w:cs="宋体"/>
          <w:spacing w:val="-1"/>
          <w:sz w:val="28"/>
          <w:szCs w:val="28"/>
        </w:rPr>
        <w:t>附件：《焉耆县疆南城乡投资建设有限责任公司焉耆县七个星砂石料矿矿区生态修复方案》评审专家组</w:t>
      </w:r>
      <w:r>
        <w:rPr>
          <w:rFonts w:hint="eastAsia" w:ascii="宋体" w:hAnsi="宋体" w:eastAsia="宋体" w:cs="宋体"/>
          <w:spacing w:val="-9"/>
          <w:sz w:val="28"/>
          <w:szCs w:val="28"/>
        </w:rPr>
        <w:t>名单</w:t>
      </w:r>
      <w:r>
        <w:rPr>
          <w:rFonts w:hint="eastAsia" w:ascii="宋体" w:hAnsi="宋体" w:eastAsia="宋体" w:cs="宋体"/>
          <w:spacing w:val="-9"/>
          <w:sz w:val="28"/>
          <w:szCs w:val="28"/>
          <w:lang w:eastAsia="zh-CN"/>
        </w:rPr>
        <w:t>。</w:t>
      </w:r>
    </w:p>
    <w:p w14:paraId="26759B68">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24" w:firstLineChars="200"/>
        <w:jc w:val="both"/>
        <w:textAlignment w:val="baseline"/>
        <w:rPr>
          <w:rFonts w:hint="eastAsia" w:ascii="宋体" w:hAnsi="宋体" w:eastAsia="宋体" w:cs="宋体"/>
          <w:spacing w:val="-9"/>
          <w:sz w:val="28"/>
          <w:szCs w:val="28"/>
          <w:lang w:eastAsia="zh-CN"/>
        </w:rPr>
      </w:pPr>
    </w:p>
    <w:p w14:paraId="5D46529D">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24" w:firstLineChars="200"/>
        <w:jc w:val="both"/>
        <w:textAlignment w:val="baseline"/>
        <w:rPr>
          <w:rFonts w:hint="eastAsia" w:ascii="宋体" w:hAnsi="宋体" w:eastAsia="宋体" w:cs="宋体"/>
          <w:spacing w:val="-9"/>
          <w:sz w:val="28"/>
          <w:szCs w:val="28"/>
          <w:lang w:eastAsia="zh-CN"/>
        </w:rPr>
      </w:pPr>
    </w:p>
    <w:p w14:paraId="13B67FFF">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60" w:firstLineChars="200"/>
        <w:jc w:val="both"/>
        <w:textAlignment w:val="baseline"/>
        <w:rPr>
          <w:rFonts w:hint="eastAsia" w:ascii="宋体" w:hAnsi="宋体" w:eastAsia="宋体" w:cs="宋体"/>
          <w:spacing w:val="-9"/>
          <w:sz w:val="28"/>
          <w:szCs w:val="28"/>
          <w:lang w:eastAsia="zh-CN"/>
        </w:rPr>
      </w:pPr>
      <w:r>
        <w:drawing>
          <wp:anchor distT="0" distB="0" distL="114300" distR="114300" simplePos="0" relativeHeight="251660288" behindDoc="1" locked="0" layoutInCell="1" allowOverlap="1">
            <wp:simplePos x="0" y="0"/>
            <wp:positionH relativeFrom="column">
              <wp:posOffset>4500245</wp:posOffset>
            </wp:positionH>
            <wp:positionV relativeFrom="paragraph">
              <wp:posOffset>255270</wp:posOffset>
            </wp:positionV>
            <wp:extent cx="824865" cy="466725"/>
            <wp:effectExtent l="0" t="0" r="13335" b="9525"/>
            <wp:wrapNone/>
            <wp:docPr id="8" name="图片 1" descr="J:\2022年度\2、综合文件\6、签字全套\124a934e4422790ae2b605bd7e455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J:\2022年度\2、综合文件\6、签字全套\124a934e4422790ae2b605bd7e4551c.jpg"/>
                    <pic:cNvPicPr>
                      <a:picLocks noChangeAspect="1" noChangeArrowheads="1"/>
                    </pic:cNvPicPr>
                  </pic:nvPicPr>
                  <pic:blipFill>
                    <a:blip r:embed="rId6" cstate="print"/>
                    <a:srcRect/>
                    <a:stretch>
                      <a:fillRect/>
                    </a:stretch>
                  </pic:blipFill>
                  <pic:spPr>
                    <a:xfrm>
                      <a:off x="0" y="0"/>
                      <a:ext cx="824865" cy="466725"/>
                    </a:xfrm>
                    <a:prstGeom prst="rect">
                      <a:avLst/>
                    </a:prstGeom>
                    <a:noFill/>
                    <a:ln w="9525">
                      <a:noFill/>
                      <a:miter lim="800000"/>
                      <a:headEnd/>
                      <a:tailEnd/>
                    </a:ln>
                  </pic:spPr>
                </pic:pic>
              </a:graphicData>
            </a:graphic>
          </wp:anchor>
        </w:drawing>
      </w:r>
    </w:p>
    <w:p w14:paraId="5449A59E">
      <w:pPr>
        <w:pStyle w:val="3"/>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524" w:firstLineChars="200"/>
        <w:jc w:val="both"/>
        <w:textAlignment w:val="baseline"/>
        <w:rPr>
          <w:rFonts w:hint="eastAsia" w:ascii="宋体" w:hAnsi="宋体" w:eastAsia="宋体" w:cs="宋体"/>
          <w:spacing w:val="-9"/>
          <w:sz w:val="28"/>
          <w:szCs w:val="28"/>
          <w:lang w:eastAsia="zh-CN"/>
        </w:rPr>
      </w:pPr>
    </w:p>
    <w:p w14:paraId="4410F1D2">
      <w:pPr>
        <w:keepNext w:val="0"/>
        <w:keepLines w:val="0"/>
        <w:pageBreakBefore w:val="0"/>
        <w:widowControl w:val="0"/>
        <w:kinsoku/>
        <w:wordWrap/>
        <w:topLinePunct w:val="0"/>
        <w:autoSpaceDE w:val="0"/>
        <w:autoSpaceDN w:val="0"/>
        <w:bidi w:val="0"/>
        <w:adjustRightInd w:val="0"/>
        <w:snapToGrid w:val="0"/>
        <w:spacing w:line="580" w:lineRule="exact"/>
        <w:ind w:firstLine="3080" w:firstLineChars="1100"/>
        <w:jc w:val="center"/>
        <w:textAlignment w:val="auto"/>
        <w:rPr>
          <w:rFonts w:hint="eastAsia" w:ascii="宋体" w:hAnsi="宋体" w:eastAsia="宋体" w:cs="宋体"/>
          <w:kern w:val="2"/>
          <w:sz w:val="28"/>
          <w:szCs w:val="28"/>
        </w:rPr>
      </w:pPr>
      <w:r>
        <w:rPr>
          <w:rFonts w:hint="eastAsia" w:ascii="宋体" w:hAnsi="宋体" w:eastAsia="宋体" w:cs="宋体"/>
          <w:kern w:val="2"/>
          <w:sz w:val="28"/>
          <w:szCs w:val="28"/>
        </w:rPr>
        <w:t>专家组组长</w:t>
      </w:r>
      <w:r>
        <w:rPr>
          <w:rFonts w:hint="eastAsia" w:ascii="宋体" w:hAnsi="宋体" w:eastAsia="宋体" w:cs="宋体"/>
          <w:kern w:val="2"/>
          <w:sz w:val="28"/>
          <w:szCs w:val="28"/>
          <w:lang w:eastAsia="zh-CN"/>
        </w:rPr>
        <w:t>：</w:t>
      </w:r>
      <w:r>
        <w:rPr>
          <w:rFonts w:hint="eastAsia" w:ascii="宋体" w:hAnsi="宋体" w:eastAsia="宋体" w:cs="宋体"/>
          <w:kern w:val="2"/>
          <w:sz w:val="28"/>
          <w:szCs w:val="28"/>
          <w:lang w:val="en-US" w:eastAsia="zh-CN"/>
        </w:rPr>
        <w:t>陆成新</w:t>
      </w:r>
      <w:r>
        <w:rPr>
          <w:rFonts w:hint="eastAsia" w:ascii="宋体" w:hAnsi="宋体" w:eastAsia="宋体" w:cs="宋体"/>
          <w:kern w:val="2"/>
          <w:sz w:val="28"/>
          <w:szCs w:val="28"/>
        </w:rPr>
        <w:t xml:space="preserve">（签字）      </w:t>
      </w:r>
    </w:p>
    <w:p w14:paraId="73A545E9">
      <w:pPr>
        <w:keepNext w:val="0"/>
        <w:keepLines w:val="0"/>
        <w:pageBreakBefore w:val="0"/>
        <w:widowControl w:val="0"/>
        <w:kinsoku/>
        <w:wordWrap/>
        <w:topLinePunct w:val="0"/>
        <w:autoSpaceDE w:val="0"/>
        <w:autoSpaceDN w:val="0"/>
        <w:bidi w:val="0"/>
        <w:adjustRightInd w:val="0"/>
        <w:snapToGrid w:val="0"/>
        <w:spacing w:line="580" w:lineRule="exact"/>
        <w:ind w:firstLine="560" w:firstLineChars="200"/>
        <w:jc w:val="center"/>
        <w:textAlignment w:val="auto"/>
        <w:rPr>
          <w:rFonts w:hint="eastAsia"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 xml:space="preserve">                2026年5月26日</w:t>
      </w:r>
    </w:p>
    <w:p w14:paraId="18C0236E">
      <w:pPr>
        <w:keepNext w:val="0"/>
        <w:keepLines w:val="0"/>
        <w:pageBreakBefore w:val="0"/>
        <w:widowControl w:val="0"/>
        <w:kinsoku/>
        <w:wordWrap/>
        <w:topLinePunct w:val="0"/>
        <w:autoSpaceDE w:val="0"/>
        <w:autoSpaceDN w:val="0"/>
        <w:bidi w:val="0"/>
        <w:adjustRightInd w:val="0"/>
        <w:snapToGrid w:val="0"/>
        <w:spacing w:line="580" w:lineRule="exact"/>
        <w:ind w:firstLine="560" w:firstLineChars="200"/>
        <w:jc w:val="center"/>
        <w:textAlignment w:val="auto"/>
        <w:rPr>
          <w:rFonts w:hint="eastAsia" w:ascii="宋体" w:hAnsi="宋体" w:eastAsia="宋体" w:cs="宋体"/>
          <w:kern w:val="2"/>
          <w:sz w:val="28"/>
          <w:szCs w:val="28"/>
          <w:lang w:val="en-US" w:eastAsia="zh-CN"/>
        </w:rPr>
      </w:pPr>
    </w:p>
    <w:p w14:paraId="1FC29E07">
      <w:pPr>
        <w:keepNext w:val="0"/>
        <w:keepLines w:val="0"/>
        <w:pageBreakBefore w:val="0"/>
        <w:widowControl w:val="0"/>
        <w:kinsoku/>
        <w:wordWrap/>
        <w:overflowPunct w:val="0"/>
        <w:topLinePunct w:val="0"/>
        <w:bidi w:val="0"/>
        <w:spacing w:line="580" w:lineRule="exact"/>
        <w:textAlignment w:val="auto"/>
        <w:rPr>
          <w:rFonts w:hint="eastAsia" w:ascii="宋体" w:hAnsi="宋体" w:eastAsia="宋体" w:cs="宋体"/>
          <w:sz w:val="28"/>
          <w:szCs w:val="28"/>
          <w:u w:val="single"/>
        </w:rPr>
      </w:pPr>
    </w:p>
    <w:p w14:paraId="2BB83CE7">
      <w:pPr>
        <w:keepNext w:val="0"/>
        <w:keepLines w:val="0"/>
        <w:pageBreakBefore w:val="0"/>
        <w:widowControl w:val="0"/>
        <w:kinsoku/>
        <w:wordWrap/>
        <w:overflowPunct w:val="0"/>
        <w:topLinePunct w:val="0"/>
        <w:bidi w:val="0"/>
        <w:spacing w:line="580" w:lineRule="exact"/>
        <w:textAlignment w:val="auto"/>
        <w:rPr>
          <w:rFonts w:hint="eastAsia" w:ascii="宋体" w:hAnsi="宋体" w:eastAsia="宋体" w:cs="宋体"/>
          <w:sz w:val="28"/>
          <w:szCs w:val="28"/>
          <w:u w:val="single"/>
        </w:rPr>
      </w:pPr>
    </w:p>
    <w:p w14:paraId="3E1166BA">
      <w:pPr>
        <w:keepNext w:val="0"/>
        <w:keepLines w:val="0"/>
        <w:pageBreakBefore w:val="0"/>
        <w:widowControl w:val="0"/>
        <w:kinsoku/>
        <w:wordWrap/>
        <w:overflowPunct w:val="0"/>
        <w:topLinePunct w:val="0"/>
        <w:bidi w:val="0"/>
        <w:spacing w:line="580" w:lineRule="exact"/>
        <w:textAlignment w:val="auto"/>
        <w:rPr>
          <w:rFonts w:hint="eastAsia" w:ascii="宋体" w:hAnsi="宋体" w:eastAsia="宋体" w:cs="宋体"/>
          <w:sz w:val="28"/>
          <w:szCs w:val="28"/>
          <w:u w:val="single"/>
        </w:rPr>
      </w:pPr>
    </w:p>
    <w:p w14:paraId="23F477AC">
      <w:pPr>
        <w:keepNext w:val="0"/>
        <w:keepLines w:val="0"/>
        <w:pageBreakBefore w:val="0"/>
        <w:widowControl w:val="0"/>
        <w:kinsoku/>
        <w:wordWrap/>
        <w:overflowPunct w:val="0"/>
        <w:topLinePunct w:val="0"/>
        <w:bidi w:val="0"/>
        <w:spacing w:line="580" w:lineRule="exact"/>
        <w:textAlignment w:val="auto"/>
        <w:rPr>
          <w:rFonts w:hint="eastAsia" w:ascii="宋体" w:hAnsi="宋体" w:eastAsia="宋体" w:cs="宋体"/>
          <w:sz w:val="28"/>
          <w:szCs w:val="28"/>
          <w:u w:val="single"/>
        </w:rPr>
      </w:pPr>
      <w:r>
        <w:rPr>
          <w:rFonts w:hint="eastAsia" w:ascii="宋体" w:hAnsi="宋体" w:eastAsia="宋体" w:cs="宋体"/>
          <w:sz w:val="28"/>
          <w:szCs w:val="28"/>
          <w:u w:val="single"/>
        </w:rPr>
        <w:t>附件：《焉耆县疆南城乡投资建设有限责任公司焉耆县建筑用砂27号矿矿</w:t>
      </w:r>
      <w:r>
        <w:rPr>
          <w:rFonts w:hint="eastAsia" w:ascii="宋体" w:hAnsi="宋体" w:eastAsia="宋体" w:cs="宋体"/>
          <w:sz w:val="28"/>
          <w:szCs w:val="28"/>
          <w:u w:val="single"/>
          <w:lang w:val="en-US" w:eastAsia="zh-CN"/>
        </w:rPr>
        <w:t>生态修复</w:t>
      </w:r>
      <w:r>
        <w:rPr>
          <w:rFonts w:hint="eastAsia" w:ascii="宋体" w:hAnsi="宋体" w:eastAsia="宋体" w:cs="宋体"/>
          <w:sz w:val="28"/>
          <w:szCs w:val="28"/>
          <w:u w:val="single"/>
        </w:rPr>
        <w:t>方案》评审专家组名单</w:t>
      </w:r>
    </w:p>
    <w:p w14:paraId="23AA5815">
      <w:pPr>
        <w:keepNext w:val="0"/>
        <w:keepLines w:val="0"/>
        <w:pageBreakBefore w:val="0"/>
        <w:widowControl w:val="0"/>
        <w:kinsoku/>
        <w:wordWrap/>
        <w:overflowPunct w:val="0"/>
        <w:topLinePunct w:val="0"/>
        <w:bidi w:val="0"/>
        <w:spacing w:line="580" w:lineRule="exact"/>
        <w:textAlignment w:val="auto"/>
        <w:rPr>
          <w:rFonts w:hint="eastAsia" w:ascii="宋体" w:hAnsi="宋体" w:eastAsia="宋体" w:cs="宋体"/>
          <w:sz w:val="28"/>
          <w:szCs w:val="28"/>
        </w:rPr>
      </w:pPr>
      <w:r>
        <w:rPr>
          <w:rFonts w:hint="eastAsia" w:ascii="宋体" w:hAnsi="宋体" w:eastAsia="宋体" w:cs="宋体"/>
          <w:sz w:val="28"/>
          <w:szCs w:val="28"/>
        </w:rPr>
        <w:t>全文共印：</w:t>
      </w:r>
      <w:r>
        <w:rPr>
          <w:rFonts w:hint="eastAsia" w:ascii="宋体" w:hAnsi="宋体" w:eastAsia="宋体" w:cs="宋体"/>
          <w:sz w:val="28"/>
          <w:szCs w:val="28"/>
          <w:lang w:val="en-US" w:eastAsia="zh-CN"/>
        </w:rPr>
        <w:t>6</w:t>
      </w:r>
      <w:r>
        <w:rPr>
          <w:rFonts w:hint="eastAsia" w:ascii="宋体" w:hAnsi="宋体" w:eastAsia="宋体" w:cs="宋体"/>
          <w:sz w:val="28"/>
          <w:szCs w:val="28"/>
        </w:rPr>
        <w:t>份</w:t>
      </w:r>
    </w:p>
    <w:p w14:paraId="6CC34368">
      <w:pPr>
        <w:keepNext w:val="0"/>
        <w:keepLines w:val="0"/>
        <w:pageBreakBefore w:val="0"/>
        <w:widowControl w:val="0"/>
        <w:kinsoku/>
        <w:wordWrap/>
        <w:overflowPunct w:val="0"/>
        <w:topLinePunct w:val="0"/>
        <w:bidi w:val="0"/>
        <w:spacing w:line="580" w:lineRule="exact"/>
        <w:textAlignment w:val="auto"/>
        <w:rPr>
          <w:rFonts w:hint="eastAsia" w:ascii="宋体" w:hAnsi="宋体" w:eastAsia="宋体" w:cs="宋体"/>
          <w:sz w:val="28"/>
          <w:szCs w:val="28"/>
        </w:rPr>
      </w:pPr>
      <w:r>
        <w:rPr>
          <w:rFonts w:hint="eastAsia" w:ascii="宋体" w:hAnsi="宋体" w:eastAsia="宋体" w:cs="宋体"/>
          <w:sz w:val="28"/>
          <w:szCs w:val="28"/>
        </w:rPr>
        <w:t>存    档：2份</w:t>
      </w:r>
    </w:p>
    <w:p w14:paraId="55606577">
      <w:pPr>
        <w:keepNext w:val="0"/>
        <w:keepLines w:val="0"/>
        <w:pageBreakBefore w:val="0"/>
        <w:widowControl w:val="0"/>
        <w:kinsoku/>
        <w:wordWrap/>
        <w:topLinePunct w:val="0"/>
        <w:autoSpaceDE w:val="0"/>
        <w:autoSpaceDN w:val="0"/>
        <w:bidi w:val="0"/>
        <w:adjustRightInd w:val="0"/>
        <w:snapToGrid w:val="0"/>
        <w:spacing w:line="580" w:lineRule="exact"/>
        <w:ind w:firstLine="560" w:firstLineChars="200"/>
        <w:textAlignment w:val="auto"/>
        <w:rPr>
          <w:rFonts w:hint="eastAsia" w:ascii="宋体" w:hAnsi="宋体" w:eastAsia="宋体" w:cs="宋体"/>
          <w:kern w:val="2"/>
          <w:sz w:val="28"/>
          <w:szCs w:val="28"/>
        </w:rPr>
        <w:sectPr>
          <w:pgSz w:w="11905" w:h="16840"/>
          <w:pgMar w:top="1247" w:right="1418" w:bottom="1247" w:left="1418" w:header="720" w:footer="720" w:gutter="0"/>
          <w:cols w:space="720" w:num="1"/>
        </w:sectPr>
      </w:pPr>
    </w:p>
    <w:p w14:paraId="5A1609A1">
      <w:pPr>
        <w:pageBreakBefore w:val="0"/>
        <w:wordWrap/>
        <w:topLinePunct w:val="0"/>
        <w:bidi w:val="0"/>
        <w:snapToGrid w:val="0"/>
        <w:spacing w:line="580" w:lineRule="exact"/>
        <w:jc w:val="left"/>
        <w:rPr>
          <w:rFonts w:hint="eastAsia" w:ascii="宋体" w:hAnsi="宋体" w:eastAsia="宋体" w:cs="宋体"/>
          <w:b/>
          <w:color w:val="000000"/>
          <w:kern w:val="2"/>
          <w:sz w:val="28"/>
          <w:szCs w:val="28"/>
          <w:lang w:val="en-US" w:eastAsia="zh-CN"/>
        </w:rPr>
      </w:pPr>
      <w:bookmarkStart w:id="0" w:name="_Hlk173168393"/>
      <w:bookmarkStart w:id="1" w:name="_Hlk209790364"/>
      <w:r>
        <w:rPr>
          <w:rFonts w:hint="eastAsia" w:ascii="宋体" w:hAnsi="宋体" w:eastAsia="宋体" w:cs="宋体"/>
          <w:b/>
          <w:color w:val="000000"/>
          <w:kern w:val="2"/>
          <w:sz w:val="28"/>
          <w:szCs w:val="28"/>
        </w:rPr>
        <w:t>附</w:t>
      </w:r>
      <w:r>
        <w:rPr>
          <w:rFonts w:hint="eastAsia" w:ascii="宋体" w:hAnsi="宋体" w:eastAsia="宋体" w:cs="宋体"/>
          <w:b/>
          <w:color w:val="000000"/>
          <w:kern w:val="2"/>
          <w:sz w:val="28"/>
          <w:szCs w:val="28"/>
          <w:lang w:val="en-US" w:eastAsia="zh-CN"/>
        </w:rPr>
        <w:t>件</w:t>
      </w:r>
    </w:p>
    <w:p w14:paraId="67D6C5DC">
      <w:pPr>
        <w:pageBreakBefore w:val="0"/>
        <w:wordWrap/>
        <w:topLinePunct w:val="0"/>
        <w:bidi w:val="0"/>
        <w:snapToGrid w:val="0"/>
        <w:spacing w:line="580" w:lineRule="exact"/>
        <w:jc w:val="center"/>
        <w:rPr>
          <w:rFonts w:hint="eastAsia" w:ascii="宋体" w:hAnsi="宋体" w:eastAsia="宋体" w:cs="宋体"/>
          <w:b/>
          <w:color w:val="000000"/>
          <w:kern w:val="2"/>
          <w:sz w:val="28"/>
          <w:szCs w:val="28"/>
        </w:rPr>
      </w:pPr>
      <w:r>
        <w:rPr>
          <w:rFonts w:hint="eastAsia" w:ascii="宋体" w:hAnsi="宋体" w:eastAsia="宋体" w:cs="宋体"/>
          <w:b/>
          <w:color w:val="000000"/>
          <w:kern w:val="2"/>
          <w:sz w:val="28"/>
          <w:szCs w:val="28"/>
        </w:rPr>
        <w:t>《焉耆县疆南城乡投资建设有限责任公司焉耆县建筑用砂27号矿矿区生态修复方案》</w:t>
      </w:r>
    </w:p>
    <w:p w14:paraId="1A7C4E51">
      <w:pPr>
        <w:pageBreakBefore w:val="0"/>
        <w:wordWrap/>
        <w:topLinePunct w:val="0"/>
        <w:bidi w:val="0"/>
        <w:snapToGrid w:val="0"/>
        <w:spacing w:line="580" w:lineRule="exact"/>
        <w:jc w:val="center"/>
        <w:rPr>
          <w:rFonts w:hint="eastAsia" w:ascii="宋体" w:hAnsi="宋体" w:eastAsia="宋体" w:cs="宋体"/>
          <w:b/>
          <w:kern w:val="2"/>
          <w:sz w:val="28"/>
          <w:szCs w:val="28"/>
        </w:rPr>
      </w:pPr>
      <w:r>
        <w:rPr>
          <w:rFonts w:hint="eastAsia" w:ascii="宋体" w:hAnsi="宋体" w:eastAsia="宋体" w:cs="宋体"/>
          <w:b/>
          <w:kern w:val="2"/>
          <w:sz w:val="28"/>
          <w:szCs w:val="28"/>
          <w:lang w:val="en-US" w:eastAsia="zh-CN"/>
        </w:rPr>
        <w:t>评审</w:t>
      </w:r>
      <w:r>
        <w:rPr>
          <w:rFonts w:hint="eastAsia" w:ascii="宋体" w:hAnsi="宋体" w:eastAsia="宋体" w:cs="宋体"/>
          <w:b/>
          <w:kern w:val="2"/>
          <w:sz w:val="28"/>
          <w:szCs w:val="28"/>
        </w:rPr>
        <w:t>专家组名单</w:t>
      </w:r>
    </w:p>
    <w:tbl>
      <w:tblPr>
        <w:tblStyle w:val="9"/>
        <w:tblW w:w="13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5"/>
        <w:gridCol w:w="1176"/>
        <w:gridCol w:w="6732"/>
        <w:gridCol w:w="2736"/>
        <w:gridCol w:w="1343"/>
      </w:tblGrid>
      <w:tr w14:paraId="34439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475" w:type="dxa"/>
            <w:vAlign w:val="center"/>
          </w:tcPr>
          <w:p w14:paraId="2DD53153">
            <w:pPr>
              <w:pageBreakBefore w:val="0"/>
              <w:wordWrap/>
              <w:topLinePunct w:val="0"/>
              <w:bidi w:val="0"/>
              <w:adjustRightInd w:val="0"/>
              <w:snapToGrid w:val="0"/>
              <w:spacing w:line="580" w:lineRule="exact"/>
              <w:jc w:val="center"/>
              <w:rPr>
                <w:rFonts w:hint="eastAsia" w:ascii="宋体" w:hAnsi="宋体" w:eastAsia="宋体" w:cs="宋体"/>
                <w:kern w:val="2"/>
                <w:sz w:val="28"/>
                <w:szCs w:val="28"/>
              </w:rPr>
            </w:pPr>
            <w:r>
              <w:rPr>
                <w:rFonts w:hint="eastAsia" w:ascii="宋体" w:hAnsi="宋体" w:eastAsia="宋体" w:cs="宋体"/>
                <w:kern w:val="2"/>
                <w:sz w:val="28"/>
                <w:szCs w:val="28"/>
              </w:rPr>
              <w:t>评审职务</w:t>
            </w:r>
          </w:p>
        </w:tc>
        <w:tc>
          <w:tcPr>
            <w:tcW w:w="1176" w:type="dxa"/>
            <w:vAlign w:val="center"/>
          </w:tcPr>
          <w:p w14:paraId="66D203F5">
            <w:pPr>
              <w:pageBreakBefore w:val="0"/>
              <w:wordWrap/>
              <w:topLinePunct w:val="0"/>
              <w:bidi w:val="0"/>
              <w:adjustRightInd w:val="0"/>
              <w:snapToGrid w:val="0"/>
              <w:spacing w:line="580" w:lineRule="exact"/>
              <w:jc w:val="center"/>
              <w:rPr>
                <w:rFonts w:hint="eastAsia" w:ascii="宋体" w:hAnsi="宋体" w:eastAsia="宋体" w:cs="宋体"/>
                <w:kern w:val="2"/>
                <w:sz w:val="28"/>
                <w:szCs w:val="28"/>
              </w:rPr>
            </w:pPr>
            <w:r>
              <w:rPr>
                <w:rFonts w:hint="eastAsia" w:ascii="宋体" w:hAnsi="宋体" w:eastAsia="宋体" w:cs="宋体"/>
                <w:kern w:val="2"/>
                <w:sz w:val="28"/>
                <w:szCs w:val="28"/>
              </w:rPr>
              <w:t>姓名</w:t>
            </w:r>
          </w:p>
        </w:tc>
        <w:tc>
          <w:tcPr>
            <w:tcW w:w="6732" w:type="dxa"/>
            <w:vAlign w:val="center"/>
          </w:tcPr>
          <w:p w14:paraId="21EEC0CC">
            <w:pPr>
              <w:pageBreakBefore w:val="0"/>
              <w:wordWrap/>
              <w:topLinePunct w:val="0"/>
              <w:bidi w:val="0"/>
              <w:adjustRightInd w:val="0"/>
              <w:snapToGrid w:val="0"/>
              <w:spacing w:line="580" w:lineRule="exact"/>
              <w:jc w:val="center"/>
              <w:rPr>
                <w:rFonts w:hint="eastAsia" w:ascii="宋体" w:hAnsi="宋体" w:eastAsia="宋体" w:cs="宋体"/>
                <w:kern w:val="2"/>
                <w:sz w:val="28"/>
                <w:szCs w:val="28"/>
                <w:lang w:val="en-US" w:eastAsia="zh-CN"/>
              </w:rPr>
            </w:pPr>
            <w:r>
              <w:rPr>
                <w:rFonts w:hint="eastAsia" w:ascii="宋体" w:hAnsi="宋体" w:eastAsia="宋体" w:cs="宋体"/>
                <w:kern w:val="2"/>
                <w:sz w:val="28"/>
                <w:szCs w:val="28"/>
              </w:rPr>
              <w:t>工作单位</w:t>
            </w:r>
            <w:r>
              <w:rPr>
                <w:rFonts w:hint="eastAsia" w:ascii="宋体" w:hAnsi="宋体" w:eastAsia="宋体" w:cs="宋体"/>
                <w:kern w:val="2"/>
                <w:sz w:val="28"/>
                <w:szCs w:val="28"/>
                <w:lang w:eastAsia="zh-CN"/>
              </w:rPr>
              <w:t>、</w:t>
            </w:r>
            <w:r>
              <w:rPr>
                <w:rFonts w:hint="eastAsia" w:ascii="宋体" w:hAnsi="宋体" w:eastAsia="宋体" w:cs="宋体"/>
                <w:kern w:val="2"/>
                <w:sz w:val="28"/>
                <w:szCs w:val="28"/>
                <w:lang w:val="en-US" w:eastAsia="zh-CN"/>
              </w:rPr>
              <w:t>职务及联系电话</w:t>
            </w:r>
          </w:p>
        </w:tc>
        <w:tc>
          <w:tcPr>
            <w:tcW w:w="2736" w:type="dxa"/>
            <w:vAlign w:val="center"/>
          </w:tcPr>
          <w:p w14:paraId="5F671013">
            <w:pPr>
              <w:pageBreakBefore w:val="0"/>
              <w:wordWrap/>
              <w:topLinePunct w:val="0"/>
              <w:bidi w:val="0"/>
              <w:adjustRightInd w:val="0"/>
              <w:snapToGrid w:val="0"/>
              <w:spacing w:line="580" w:lineRule="exact"/>
              <w:jc w:val="center"/>
              <w:rPr>
                <w:rFonts w:hint="eastAsia" w:ascii="宋体" w:hAnsi="宋体" w:eastAsia="宋体" w:cs="宋体"/>
                <w:kern w:val="2"/>
                <w:sz w:val="28"/>
                <w:szCs w:val="28"/>
              </w:rPr>
            </w:pPr>
            <w:r>
              <w:rPr>
                <w:rFonts w:hint="eastAsia" w:ascii="宋体" w:hAnsi="宋体" w:eastAsia="宋体" w:cs="宋体"/>
                <w:kern w:val="2"/>
                <w:sz w:val="28"/>
                <w:szCs w:val="28"/>
              </w:rPr>
              <w:t>职称</w:t>
            </w:r>
          </w:p>
        </w:tc>
        <w:tc>
          <w:tcPr>
            <w:tcW w:w="1343" w:type="dxa"/>
            <w:vAlign w:val="center"/>
          </w:tcPr>
          <w:p w14:paraId="0FE08B10">
            <w:pPr>
              <w:pageBreakBefore w:val="0"/>
              <w:wordWrap/>
              <w:topLinePunct w:val="0"/>
              <w:bidi w:val="0"/>
              <w:adjustRightInd w:val="0"/>
              <w:snapToGrid w:val="0"/>
              <w:spacing w:line="580" w:lineRule="exact"/>
              <w:jc w:val="center"/>
              <w:rPr>
                <w:rFonts w:hint="eastAsia" w:ascii="宋体" w:hAnsi="宋体" w:eastAsia="宋体" w:cs="宋体"/>
                <w:kern w:val="2"/>
                <w:sz w:val="28"/>
                <w:szCs w:val="28"/>
              </w:rPr>
            </w:pPr>
            <w:r>
              <w:rPr>
                <w:rFonts w:hint="eastAsia" w:ascii="宋体" w:hAnsi="宋体" w:eastAsia="宋体" w:cs="宋体"/>
                <w:kern w:val="2"/>
                <w:sz w:val="28"/>
                <w:szCs w:val="28"/>
              </w:rPr>
              <w:t>签名</w:t>
            </w:r>
          </w:p>
        </w:tc>
      </w:tr>
      <w:tr w14:paraId="047A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475" w:type="dxa"/>
            <w:vAlign w:val="center"/>
          </w:tcPr>
          <w:p w14:paraId="5EE2F179">
            <w:pPr>
              <w:pageBreakBefore w:val="0"/>
              <w:wordWrap/>
              <w:topLinePunct w:val="0"/>
              <w:bidi w:val="0"/>
              <w:adjustRightInd w:val="0"/>
              <w:snapToGrid w:val="0"/>
              <w:spacing w:line="580" w:lineRule="exact"/>
              <w:jc w:val="center"/>
              <w:rPr>
                <w:rFonts w:hint="eastAsia"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评审专家</w:t>
            </w:r>
          </w:p>
        </w:tc>
        <w:tc>
          <w:tcPr>
            <w:tcW w:w="1176" w:type="dxa"/>
            <w:vAlign w:val="center"/>
          </w:tcPr>
          <w:p w14:paraId="4356A438">
            <w:pPr>
              <w:pageBreakBefore w:val="0"/>
              <w:wordWrap/>
              <w:topLinePunct w:val="0"/>
              <w:bidi w:val="0"/>
              <w:adjustRightInd w:val="0"/>
              <w:snapToGrid w:val="0"/>
              <w:spacing w:line="580" w:lineRule="exact"/>
              <w:jc w:val="center"/>
              <w:rPr>
                <w:rFonts w:hint="default"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陆成新</w:t>
            </w:r>
          </w:p>
        </w:tc>
        <w:tc>
          <w:tcPr>
            <w:tcW w:w="6732" w:type="dxa"/>
            <w:vAlign w:val="center"/>
          </w:tcPr>
          <w:p w14:paraId="6DE6DC72">
            <w:pPr>
              <w:pageBreakBefore w:val="0"/>
              <w:wordWrap/>
              <w:topLinePunct w:val="0"/>
              <w:bidi w:val="0"/>
              <w:adjustRightInd w:val="0"/>
              <w:snapToGrid w:val="0"/>
              <w:spacing w:line="580" w:lineRule="exact"/>
              <w:jc w:val="both"/>
              <w:rPr>
                <w:rFonts w:hint="eastAsia"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原新疆地矿局第二水文地质大队副大</w:t>
            </w:r>
            <w:bookmarkStart w:id="2" w:name="_GoBack"/>
            <w:bookmarkEnd w:id="2"/>
            <w:r>
              <w:rPr>
                <w:rFonts w:hint="eastAsia" w:ascii="宋体" w:hAnsi="宋体" w:eastAsia="宋体" w:cs="宋体"/>
                <w:kern w:val="2"/>
                <w:sz w:val="28"/>
                <w:szCs w:val="28"/>
                <w:lang w:val="en-US" w:eastAsia="zh-CN"/>
              </w:rPr>
              <w:t>队长（退休）</w:t>
            </w:r>
          </w:p>
        </w:tc>
        <w:tc>
          <w:tcPr>
            <w:tcW w:w="2736" w:type="dxa"/>
            <w:vAlign w:val="center"/>
          </w:tcPr>
          <w:p w14:paraId="2A4CE4AF">
            <w:pPr>
              <w:pageBreakBefore w:val="0"/>
              <w:wordWrap/>
              <w:topLinePunct w:val="0"/>
              <w:bidi w:val="0"/>
              <w:adjustRightInd w:val="0"/>
              <w:snapToGrid w:val="0"/>
              <w:spacing w:line="580" w:lineRule="exact"/>
              <w:jc w:val="center"/>
              <w:rPr>
                <w:rFonts w:hint="eastAsia" w:ascii="宋体" w:hAnsi="宋体" w:eastAsia="宋体" w:cs="宋体"/>
                <w:kern w:val="2"/>
                <w:sz w:val="28"/>
                <w:szCs w:val="28"/>
                <w:lang w:val="en-US" w:eastAsia="zh-CN"/>
              </w:rPr>
            </w:pPr>
            <w:r>
              <w:rPr>
                <w:rFonts w:hint="eastAsia" w:ascii="宋体" w:hAnsi="宋体" w:eastAsia="宋体" w:cs="宋体"/>
                <w:kern w:val="2"/>
                <w:sz w:val="28"/>
                <w:szCs w:val="28"/>
              </w:rPr>
              <w:t>水工环</w:t>
            </w:r>
            <w:r>
              <w:rPr>
                <w:rFonts w:hint="eastAsia" w:ascii="宋体" w:hAnsi="宋体" w:eastAsia="宋体" w:cs="宋体"/>
                <w:kern w:val="2"/>
                <w:sz w:val="28"/>
                <w:szCs w:val="28"/>
                <w:lang w:val="en-US" w:eastAsia="zh-CN"/>
              </w:rPr>
              <w:t>教授级</w:t>
            </w:r>
          </w:p>
          <w:p w14:paraId="4CA3F507">
            <w:pPr>
              <w:pageBreakBefore w:val="0"/>
              <w:wordWrap/>
              <w:topLinePunct w:val="0"/>
              <w:bidi w:val="0"/>
              <w:adjustRightInd w:val="0"/>
              <w:snapToGrid w:val="0"/>
              <w:spacing w:line="580" w:lineRule="exact"/>
              <w:jc w:val="center"/>
              <w:rPr>
                <w:rFonts w:hint="eastAsia" w:ascii="宋体" w:hAnsi="宋体" w:eastAsia="宋体" w:cs="宋体"/>
                <w:kern w:val="2"/>
                <w:sz w:val="28"/>
                <w:szCs w:val="28"/>
                <w:lang w:val="en-US" w:eastAsia="zh-CN"/>
              </w:rPr>
            </w:pPr>
            <w:r>
              <w:rPr>
                <w:rFonts w:hint="eastAsia" w:ascii="宋体" w:hAnsi="宋体" w:eastAsia="宋体" w:cs="宋体"/>
                <w:kern w:val="2"/>
                <w:sz w:val="28"/>
                <w:szCs w:val="28"/>
              </w:rPr>
              <w:t>高级工程师</w:t>
            </w:r>
          </w:p>
        </w:tc>
        <w:tc>
          <w:tcPr>
            <w:tcW w:w="1343" w:type="dxa"/>
            <w:vAlign w:val="center"/>
          </w:tcPr>
          <w:p w14:paraId="48FBF1DF">
            <w:pPr>
              <w:pageBreakBefore w:val="0"/>
              <w:wordWrap/>
              <w:topLinePunct w:val="0"/>
              <w:bidi w:val="0"/>
              <w:adjustRightInd w:val="0"/>
              <w:snapToGrid w:val="0"/>
              <w:spacing w:line="580" w:lineRule="exact"/>
              <w:jc w:val="center"/>
              <w:rPr>
                <w:rFonts w:hint="eastAsia" w:ascii="宋体" w:hAnsi="宋体" w:eastAsia="宋体" w:cs="宋体"/>
                <w:kern w:val="2"/>
                <w:sz w:val="28"/>
                <w:szCs w:val="28"/>
              </w:rPr>
            </w:pPr>
            <w:r>
              <w:drawing>
                <wp:anchor distT="0" distB="0" distL="114300" distR="114300" simplePos="0" relativeHeight="251661312" behindDoc="1" locked="0" layoutInCell="1" allowOverlap="1">
                  <wp:simplePos x="0" y="0"/>
                  <wp:positionH relativeFrom="column">
                    <wp:posOffset>78105</wp:posOffset>
                  </wp:positionH>
                  <wp:positionV relativeFrom="paragraph">
                    <wp:posOffset>-44450</wp:posOffset>
                  </wp:positionV>
                  <wp:extent cx="607695" cy="344170"/>
                  <wp:effectExtent l="0" t="0" r="1905" b="17780"/>
                  <wp:wrapNone/>
                  <wp:docPr id="9" name="图片 1" descr="J:\2022年度\2、综合文件\6、签字全套\124a934e4422790ae2b605bd7e455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J:\2022年度\2、综合文件\6、签字全套\124a934e4422790ae2b605bd7e4551c.jpg"/>
                          <pic:cNvPicPr>
                            <a:picLocks noChangeAspect="1" noChangeArrowheads="1"/>
                          </pic:cNvPicPr>
                        </pic:nvPicPr>
                        <pic:blipFill>
                          <a:blip r:embed="rId6" cstate="print"/>
                          <a:srcRect/>
                          <a:stretch>
                            <a:fillRect/>
                          </a:stretch>
                        </pic:blipFill>
                        <pic:spPr>
                          <a:xfrm>
                            <a:off x="0" y="0"/>
                            <a:ext cx="607695" cy="344170"/>
                          </a:xfrm>
                          <a:prstGeom prst="rect">
                            <a:avLst/>
                          </a:prstGeom>
                          <a:noFill/>
                          <a:ln w="9525">
                            <a:noFill/>
                            <a:miter lim="800000"/>
                            <a:headEnd/>
                            <a:tailEnd/>
                          </a:ln>
                        </pic:spPr>
                      </pic:pic>
                    </a:graphicData>
                  </a:graphic>
                </wp:anchor>
              </w:drawing>
            </w:r>
          </w:p>
        </w:tc>
      </w:tr>
      <w:tr w14:paraId="5E1E7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475" w:type="dxa"/>
            <w:vAlign w:val="center"/>
          </w:tcPr>
          <w:p w14:paraId="78107B82">
            <w:pPr>
              <w:pageBreakBefore w:val="0"/>
              <w:wordWrap/>
              <w:topLinePunct w:val="0"/>
              <w:bidi w:val="0"/>
              <w:adjustRightInd w:val="0"/>
              <w:snapToGrid w:val="0"/>
              <w:spacing w:line="580" w:lineRule="exact"/>
              <w:jc w:val="center"/>
              <w:rPr>
                <w:rFonts w:hint="eastAsia" w:ascii="宋体" w:hAnsi="宋体" w:eastAsia="宋体" w:cs="宋体"/>
                <w:kern w:val="2"/>
                <w:sz w:val="28"/>
                <w:szCs w:val="28"/>
              </w:rPr>
            </w:pPr>
            <w:r>
              <w:rPr>
                <w:rFonts w:hint="eastAsia" w:ascii="宋体" w:hAnsi="宋体" w:eastAsia="宋体" w:cs="宋体"/>
                <w:kern w:val="2"/>
                <w:sz w:val="28"/>
                <w:szCs w:val="28"/>
                <w:lang w:val="en-US" w:eastAsia="zh-CN"/>
              </w:rPr>
              <w:t>评审专家</w:t>
            </w:r>
          </w:p>
        </w:tc>
        <w:tc>
          <w:tcPr>
            <w:tcW w:w="1176" w:type="dxa"/>
            <w:vAlign w:val="center"/>
          </w:tcPr>
          <w:p w14:paraId="2B5F2CE7">
            <w:pPr>
              <w:pageBreakBefore w:val="0"/>
              <w:wordWrap/>
              <w:topLinePunct w:val="0"/>
              <w:bidi w:val="0"/>
              <w:adjustRightInd w:val="0"/>
              <w:snapToGrid w:val="0"/>
              <w:spacing w:line="580" w:lineRule="exact"/>
              <w:jc w:val="center"/>
              <w:rPr>
                <w:rFonts w:hint="default"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崔德广</w:t>
            </w:r>
          </w:p>
        </w:tc>
        <w:tc>
          <w:tcPr>
            <w:tcW w:w="6732" w:type="dxa"/>
            <w:vAlign w:val="center"/>
          </w:tcPr>
          <w:p w14:paraId="7D4A6B5D">
            <w:pPr>
              <w:pageBreakBefore w:val="0"/>
              <w:wordWrap/>
              <w:topLinePunct w:val="0"/>
              <w:bidi w:val="0"/>
              <w:adjustRightInd w:val="0"/>
              <w:snapToGrid w:val="0"/>
              <w:spacing w:line="580" w:lineRule="exact"/>
              <w:jc w:val="both"/>
              <w:rPr>
                <w:rFonts w:hint="eastAsia"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新疆维吾尔自治区地质研究院</w:t>
            </w:r>
          </w:p>
        </w:tc>
        <w:tc>
          <w:tcPr>
            <w:tcW w:w="2736" w:type="dxa"/>
            <w:vAlign w:val="center"/>
          </w:tcPr>
          <w:p w14:paraId="05329326">
            <w:pPr>
              <w:pageBreakBefore w:val="0"/>
              <w:wordWrap/>
              <w:topLinePunct w:val="0"/>
              <w:bidi w:val="0"/>
              <w:adjustRightInd w:val="0"/>
              <w:snapToGrid w:val="0"/>
              <w:spacing w:line="580" w:lineRule="exact"/>
              <w:jc w:val="center"/>
              <w:rPr>
                <w:rFonts w:hint="eastAsia" w:ascii="宋体" w:hAnsi="宋体" w:eastAsia="宋体" w:cs="宋体"/>
                <w:kern w:val="2"/>
                <w:sz w:val="28"/>
                <w:szCs w:val="28"/>
              </w:rPr>
            </w:pPr>
            <w:r>
              <w:rPr>
                <w:rFonts w:hint="eastAsia" w:ascii="宋体" w:hAnsi="宋体" w:eastAsia="宋体" w:cs="宋体"/>
                <w:kern w:val="2"/>
                <w:sz w:val="28"/>
                <w:szCs w:val="28"/>
              </w:rPr>
              <w:t>水文地质</w:t>
            </w:r>
          </w:p>
          <w:p w14:paraId="6ACDD248">
            <w:pPr>
              <w:pageBreakBefore w:val="0"/>
              <w:wordWrap/>
              <w:topLinePunct w:val="0"/>
              <w:bidi w:val="0"/>
              <w:adjustRightInd w:val="0"/>
              <w:snapToGrid w:val="0"/>
              <w:spacing w:line="580" w:lineRule="exact"/>
              <w:jc w:val="center"/>
              <w:rPr>
                <w:rFonts w:hint="eastAsia" w:ascii="宋体" w:hAnsi="宋体" w:eastAsia="宋体" w:cs="宋体"/>
                <w:kern w:val="2"/>
                <w:sz w:val="28"/>
                <w:szCs w:val="28"/>
                <w:lang w:val="en-US" w:eastAsia="zh-CN"/>
              </w:rPr>
            </w:pPr>
            <w:r>
              <w:rPr>
                <w:rFonts w:hint="eastAsia" w:ascii="宋体" w:hAnsi="宋体" w:eastAsia="宋体" w:cs="宋体"/>
                <w:kern w:val="2"/>
                <w:sz w:val="28"/>
                <w:szCs w:val="28"/>
              </w:rPr>
              <w:t>正高级工程师</w:t>
            </w:r>
          </w:p>
        </w:tc>
        <w:tc>
          <w:tcPr>
            <w:tcW w:w="1343" w:type="dxa"/>
            <w:vAlign w:val="center"/>
          </w:tcPr>
          <w:p w14:paraId="0299B76D">
            <w:pPr>
              <w:pageBreakBefore w:val="0"/>
              <w:wordWrap/>
              <w:topLinePunct w:val="0"/>
              <w:bidi w:val="0"/>
              <w:adjustRightInd w:val="0"/>
              <w:snapToGrid w:val="0"/>
              <w:spacing w:line="580" w:lineRule="exact"/>
              <w:jc w:val="center"/>
              <w:rPr>
                <w:rFonts w:hint="eastAsia" w:ascii="宋体" w:hAnsi="宋体" w:eastAsia="宋体" w:cs="宋体"/>
                <w:kern w:val="2"/>
                <w:sz w:val="28"/>
                <w:szCs w:val="28"/>
              </w:rPr>
            </w:pPr>
            <w:r>
              <w:rPr>
                <w:rFonts w:hint="eastAsia" w:eastAsiaTheme="minorEastAsia"/>
                <w:lang w:eastAsia="zh-CN"/>
              </w:rPr>
              <w:drawing>
                <wp:anchor distT="0" distB="0" distL="114300" distR="114300" simplePos="0" relativeHeight="251662336" behindDoc="1" locked="0" layoutInCell="1" allowOverlap="1">
                  <wp:simplePos x="0" y="0"/>
                  <wp:positionH relativeFrom="column">
                    <wp:posOffset>83185</wp:posOffset>
                  </wp:positionH>
                  <wp:positionV relativeFrom="paragraph">
                    <wp:posOffset>62230</wp:posOffset>
                  </wp:positionV>
                  <wp:extent cx="580390" cy="301625"/>
                  <wp:effectExtent l="0" t="0" r="10160" b="3175"/>
                  <wp:wrapNone/>
                  <wp:docPr id="1" name="图片 1" descr="fd1a929c63c10bdae752bc9721e9d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d1a929c63c10bdae752bc9721e9da20"/>
                          <pic:cNvPicPr>
                            <a:picLocks noChangeAspect="1"/>
                          </pic:cNvPicPr>
                        </pic:nvPicPr>
                        <pic:blipFill>
                          <a:blip r:embed="rId7"/>
                          <a:stretch>
                            <a:fillRect/>
                          </a:stretch>
                        </pic:blipFill>
                        <pic:spPr>
                          <a:xfrm>
                            <a:off x="0" y="0"/>
                            <a:ext cx="580390" cy="301625"/>
                          </a:xfrm>
                          <a:prstGeom prst="rect">
                            <a:avLst/>
                          </a:prstGeom>
                        </pic:spPr>
                      </pic:pic>
                    </a:graphicData>
                  </a:graphic>
                </wp:anchor>
              </w:drawing>
            </w:r>
          </w:p>
        </w:tc>
      </w:tr>
      <w:tr w14:paraId="5263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475" w:type="dxa"/>
            <w:vAlign w:val="center"/>
          </w:tcPr>
          <w:p w14:paraId="5202F27E">
            <w:pPr>
              <w:pageBreakBefore w:val="0"/>
              <w:wordWrap/>
              <w:topLinePunct w:val="0"/>
              <w:bidi w:val="0"/>
              <w:adjustRightInd w:val="0"/>
              <w:snapToGrid w:val="0"/>
              <w:spacing w:line="580" w:lineRule="exact"/>
              <w:jc w:val="center"/>
              <w:rPr>
                <w:rFonts w:hint="eastAsia" w:ascii="宋体" w:hAnsi="宋体" w:eastAsia="宋体" w:cs="宋体"/>
                <w:kern w:val="2"/>
                <w:sz w:val="28"/>
                <w:szCs w:val="28"/>
              </w:rPr>
            </w:pPr>
            <w:r>
              <w:rPr>
                <w:rFonts w:hint="eastAsia" w:ascii="宋体" w:hAnsi="宋体" w:eastAsia="宋体" w:cs="宋体"/>
                <w:kern w:val="2"/>
                <w:sz w:val="28"/>
                <w:szCs w:val="28"/>
                <w:lang w:val="en-US" w:eastAsia="zh-CN"/>
              </w:rPr>
              <w:t>评审专家</w:t>
            </w:r>
          </w:p>
        </w:tc>
        <w:tc>
          <w:tcPr>
            <w:tcW w:w="1176" w:type="dxa"/>
            <w:vAlign w:val="center"/>
          </w:tcPr>
          <w:p w14:paraId="561DAAA2">
            <w:pPr>
              <w:pageBreakBefore w:val="0"/>
              <w:wordWrap/>
              <w:topLinePunct w:val="0"/>
              <w:bidi w:val="0"/>
              <w:adjustRightInd w:val="0"/>
              <w:snapToGrid w:val="0"/>
              <w:spacing w:line="580" w:lineRule="exact"/>
              <w:jc w:val="center"/>
              <w:rPr>
                <w:rFonts w:hint="eastAsia"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田敬佺</w:t>
            </w:r>
          </w:p>
        </w:tc>
        <w:tc>
          <w:tcPr>
            <w:tcW w:w="6732" w:type="dxa"/>
            <w:vAlign w:val="center"/>
          </w:tcPr>
          <w:p w14:paraId="4B27E10B">
            <w:pPr>
              <w:pageBreakBefore w:val="0"/>
              <w:wordWrap/>
              <w:topLinePunct w:val="0"/>
              <w:bidi w:val="0"/>
              <w:adjustRightInd w:val="0"/>
              <w:snapToGrid w:val="0"/>
              <w:spacing w:line="580" w:lineRule="exact"/>
              <w:jc w:val="both"/>
              <w:rPr>
                <w:rFonts w:hint="default" w:ascii="宋体" w:hAnsi="宋体" w:eastAsia="宋体" w:cs="宋体"/>
                <w:kern w:val="2"/>
                <w:sz w:val="28"/>
                <w:szCs w:val="28"/>
                <w:lang w:val="en-US" w:eastAsia="zh-CN"/>
              </w:rPr>
            </w:pPr>
            <w:r>
              <w:rPr>
                <w:rFonts w:hint="eastAsia" w:ascii="宋体" w:hAnsi="宋体" w:eastAsia="宋体" w:cs="宋体"/>
                <w:kern w:val="2"/>
                <w:sz w:val="28"/>
                <w:szCs w:val="28"/>
                <w:lang w:val="en-US" w:eastAsia="zh-CN"/>
              </w:rPr>
              <w:t>新疆地质局巴州地质大队</w:t>
            </w:r>
          </w:p>
        </w:tc>
        <w:tc>
          <w:tcPr>
            <w:tcW w:w="2736" w:type="dxa"/>
            <w:vAlign w:val="center"/>
          </w:tcPr>
          <w:p w14:paraId="53F134D1">
            <w:pPr>
              <w:pageBreakBefore w:val="0"/>
              <w:wordWrap/>
              <w:topLinePunct w:val="0"/>
              <w:bidi w:val="0"/>
              <w:adjustRightInd w:val="0"/>
              <w:snapToGrid w:val="0"/>
              <w:spacing w:line="580" w:lineRule="exact"/>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rPr>
              <w:t>地质矿产高级工程师</w:t>
            </w:r>
          </w:p>
        </w:tc>
        <w:tc>
          <w:tcPr>
            <w:tcW w:w="1343" w:type="dxa"/>
            <w:vAlign w:val="center"/>
          </w:tcPr>
          <w:p w14:paraId="67841D40">
            <w:pPr>
              <w:pageBreakBefore w:val="0"/>
              <w:wordWrap/>
              <w:topLinePunct w:val="0"/>
              <w:bidi w:val="0"/>
              <w:adjustRightInd w:val="0"/>
              <w:snapToGrid w:val="0"/>
              <w:spacing w:line="580" w:lineRule="exact"/>
              <w:jc w:val="center"/>
              <w:rPr>
                <w:rFonts w:hint="eastAsia" w:ascii="宋体" w:hAnsi="宋体" w:eastAsia="宋体" w:cs="宋体"/>
                <w:kern w:val="2"/>
                <w:sz w:val="28"/>
                <w:szCs w:val="28"/>
              </w:rPr>
            </w:pPr>
            <w:r>
              <w:rPr>
                <w:rFonts w:hint="eastAsia" w:eastAsia="宋体"/>
                <w:sz w:val="28"/>
                <w:szCs w:val="28"/>
              </w:rPr>
              <w:drawing>
                <wp:anchor distT="0" distB="0" distL="0" distR="0" simplePos="0" relativeHeight="251663360" behindDoc="1" locked="0" layoutInCell="1" allowOverlap="1">
                  <wp:simplePos x="0" y="0"/>
                  <wp:positionH relativeFrom="column">
                    <wp:posOffset>118745</wp:posOffset>
                  </wp:positionH>
                  <wp:positionV relativeFrom="paragraph">
                    <wp:posOffset>121285</wp:posOffset>
                  </wp:positionV>
                  <wp:extent cx="519430" cy="167640"/>
                  <wp:effectExtent l="0" t="0" r="13970" b="3810"/>
                  <wp:wrapNone/>
                  <wp:docPr id="10" name="图片 5" descr="930ac4c669ead62e3d7a2c94efed2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930ac4c669ead62e3d7a2c94efed2df"/>
                          <pic:cNvPicPr>
                            <a:picLocks noChangeAspect="1" noChangeArrowheads="1"/>
                          </pic:cNvPicPr>
                        </pic:nvPicPr>
                        <pic:blipFill>
                          <a:blip r:embed="rId8" cstate="print"/>
                          <a:srcRect/>
                          <a:stretch>
                            <a:fillRect/>
                          </a:stretch>
                        </pic:blipFill>
                        <pic:spPr>
                          <a:xfrm>
                            <a:off x="0" y="0"/>
                            <a:ext cx="519430" cy="167640"/>
                          </a:xfrm>
                          <a:prstGeom prst="rect">
                            <a:avLst/>
                          </a:prstGeom>
                          <a:noFill/>
                          <a:ln w="9525">
                            <a:noFill/>
                            <a:miter lim="800000"/>
                            <a:headEnd/>
                            <a:tailEnd/>
                          </a:ln>
                          <a:effectLst/>
                        </pic:spPr>
                      </pic:pic>
                    </a:graphicData>
                  </a:graphic>
                </wp:anchor>
              </w:drawing>
            </w:r>
          </w:p>
        </w:tc>
      </w:tr>
      <w:bookmarkEnd w:id="0"/>
      <w:bookmarkEnd w:id="1"/>
    </w:tbl>
    <w:p w14:paraId="0951CCC8">
      <w:pPr>
        <w:pageBreakBefore w:val="0"/>
        <w:wordWrap/>
        <w:topLinePunct w:val="0"/>
        <w:autoSpaceDE w:val="0"/>
        <w:autoSpaceDN w:val="0"/>
        <w:bidi w:val="0"/>
        <w:adjustRightInd w:val="0"/>
        <w:snapToGrid w:val="0"/>
        <w:spacing w:line="580" w:lineRule="exact"/>
        <w:ind w:firstLine="560" w:firstLineChars="200"/>
        <w:rPr>
          <w:rFonts w:hint="eastAsia" w:ascii="宋体" w:hAnsi="宋体" w:eastAsia="宋体" w:cs="宋体"/>
          <w:kern w:val="2"/>
          <w:sz w:val="28"/>
          <w:szCs w:val="28"/>
        </w:rPr>
      </w:pPr>
    </w:p>
    <w:p w14:paraId="5612B330">
      <w:pPr>
        <w:pageBreakBefore w:val="0"/>
        <w:wordWrap/>
        <w:topLinePunct w:val="0"/>
        <w:autoSpaceDE w:val="0"/>
        <w:autoSpaceDN w:val="0"/>
        <w:bidi w:val="0"/>
        <w:adjustRightInd w:val="0"/>
        <w:snapToGrid w:val="0"/>
        <w:spacing w:line="580" w:lineRule="exact"/>
        <w:ind w:firstLine="560" w:firstLineChars="200"/>
        <w:rPr>
          <w:rFonts w:ascii="Times New Roman" w:hAnsi="Times New Roman" w:eastAsia="宋体" w:cs="Times New Roman"/>
          <w:kern w:val="2"/>
          <w:sz w:val="28"/>
          <w:szCs w:val="28"/>
        </w:rPr>
      </w:pPr>
    </w:p>
    <w:sectPr>
      <w:headerReference r:id="rId3" w:type="default"/>
      <w:footerReference r:id="rId4" w:type="default"/>
      <w:pgSz w:w="16840" w:h="11905" w:orient="landscape"/>
      <w:pgMar w:top="1800" w:right="1440" w:bottom="1800" w:left="1440" w:header="720"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62028">
    <w:pPr>
      <w:spacing w:line="176" w:lineRule="auto"/>
      <w:ind w:left="444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793B4">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0"/>
    <w:multiLevelType w:val="singleLevel"/>
    <w:tmpl w:val="FFFFFF80"/>
    <w:lvl w:ilvl="0" w:tentative="0">
      <w:start w:val="1"/>
      <w:numFmt w:val="bullet"/>
      <w:pStyle w:val="8"/>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A89"/>
    <w:rsid w:val="00043E97"/>
    <w:rsid w:val="000F01E0"/>
    <w:rsid w:val="00103A25"/>
    <w:rsid w:val="00262403"/>
    <w:rsid w:val="002625CA"/>
    <w:rsid w:val="002C5269"/>
    <w:rsid w:val="00594509"/>
    <w:rsid w:val="005C707F"/>
    <w:rsid w:val="006A148C"/>
    <w:rsid w:val="00884DC8"/>
    <w:rsid w:val="00932DD3"/>
    <w:rsid w:val="009838F3"/>
    <w:rsid w:val="009B2B7E"/>
    <w:rsid w:val="009F4150"/>
    <w:rsid w:val="00AC0558"/>
    <w:rsid w:val="00AC725D"/>
    <w:rsid w:val="00AE3C82"/>
    <w:rsid w:val="00C27ED4"/>
    <w:rsid w:val="00C5576F"/>
    <w:rsid w:val="00C6104E"/>
    <w:rsid w:val="00C90183"/>
    <w:rsid w:val="00D570DB"/>
    <w:rsid w:val="00D80658"/>
    <w:rsid w:val="00DD0591"/>
    <w:rsid w:val="00DF05C8"/>
    <w:rsid w:val="00E50711"/>
    <w:rsid w:val="00E86A89"/>
    <w:rsid w:val="00E8749D"/>
    <w:rsid w:val="00EE306F"/>
    <w:rsid w:val="00F41991"/>
    <w:rsid w:val="00FB5A70"/>
    <w:rsid w:val="00FD2AB2"/>
    <w:rsid w:val="0B8F2D5E"/>
    <w:rsid w:val="100C2B96"/>
    <w:rsid w:val="256107E0"/>
    <w:rsid w:val="359A03B9"/>
    <w:rsid w:val="449248B4"/>
    <w:rsid w:val="472D2EE8"/>
    <w:rsid w:val="4F5C7EC4"/>
    <w:rsid w:val="60B8244A"/>
    <w:rsid w:val="62FC5DF3"/>
    <w:rsid w:val="63883D40"/>
    <w:rsid w:val="7B1D0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2"/>
    <w:basedOn w:val="1"/>
    <w:next w:val="1"/>
    <w:link w:val="13"/>
    <w:qFormat/>
    <w:uiPriority w:val="0"/>
    <w:pPr>
      <w:keepNext/>
      <w:keepLines/>
      <w:spacing w:beforeLines="50" w:afterLines="50" w:line="360" w:lineRule="auto"/>
      <w:jc w:val="center"/>
      <w:outlineLvl w:val="1"/>
    </w:pPr>
    <w:rPr>
      <w:rFonts w:ascii="Times New Roman" w:hAnsi="Times New Roman" w:eastAsia="宋体" w:cs="Times New Roman"/>
      <w:b/>
      <w:bCs/>
      <w:kern w:val="2"/>
      <w:sz w:val="28"/>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8"/>
      <w:szCs w:val="28"/>
      <w:lang w:val="en-US" w:eastAsia="en-US" w:bidi="ar-SA"/>
    </w:rPr>
  </w:style>
  <w:style w:type="paragraph" w:styleId="4">
    <w:name w:val="Body Text Indent"/>
    <w:basedOn w:val="1"/>
    <w:uiPriority w:val="0"/>
    <w:pPr>
      <w:spacing w:after="120"/>
      <w:ind w:left="420" w:leftChars="200"/>
    </w:pPr>
  </w:style>
  <w:style w:type="paragraph" w:styleId="5">
    <w:name w:val="footer"/>
    <w:basedOn w:val="1"/>
    <w:next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Body Text 2"/>
    <w:basedOn w:val="1"/>
    <w:unhideWhenUsed/>
    <w:qFormat/>
    <w:uiPriority w:val="0"/>
    <w:pPr>
      <w:spacing w:after="120" w:line="480" w:lineRule="auto"/>
    </w:pPr>
    <w:rPr>
      <w:rFonts w:hint="eastAsia"/>
      <w:sz w:val="20"/>
    </w:rPr>
  </w:style>
  <w:style w:type="paragraph" w:styleId="8">
    <w:name w:val="Body Text First Indent 2"/>
    <w:basedOn w:val="4"/>
    <w:qFormat/>
    <w:uiPriority w:val="0"/>
    <w:pPr>
      <w:numPr>
        <w:ilvl w:val="0"/>
        <w:numId w:val="1"/>
      </w:numPr>
      <w:tabs>
        <w:tab w:val="clear" w:pos="2040"/>
      </w:tabs>
      <w:ind w:left="420" w:firstLine="420" w:firstLineChars="200"/>
    </w:pPr>
  </w:style>
  <w:style w:type="character" w:customStyle="1" w:styleId="11">
    <w:name w:val="页眉 字符"/>
    <w:basedOn w:val="10"/>
    <w:link w:val="6"/>
    <w:uiPriority w:val="0"/>
    <w:rPr>
      <w:sz w:val="18"/>
      <w:szCs w:val="18"/>
    </w:rPr>
  </w:style>
  <w:style w:type="character" w:customStyle="1" w:styleId="12">
    <w:name w:val="页脚 字符"/>
    <w:basedOn w:val="10"/>
    <w:link w:val="5"/>
    <w:qFormat/>
    <w:uiPriority w:val="0"/>
    <w:rPr>
      <w:sz w:val="18"/>
      <w:szCs w:val="18"/>
    </w:rPr>
  </w:style>
  <w:style w:type="character" w:customStyle="1" w:styleId="13">
    <w:name w:val="标题 2 字符"/>
    <w:basedOn w:val="10"/>
    <w:link w:val="2"/>
    <w:qFormat/>
    <w:uiPriority w:val="0"/>
    <w:rPr>
      <w:rFonts w:ascii="Times New Roman" w:hAnsi="Times New Roman" w:eastAsia="宋体" w:cs="Times New Roman"/>
      <w:b/>
      <w:bCs/>
      <w:kern w:val="2"/>
      <w:sz w:val="28"/>
      <w:szCs w:val="32"/>
    </w:rPr>
  </w:style>
  <w:style w:type="paragraph" w:customStyle="1" w:styleId="14">
    <w:name w:val="样式11"/>
    <w:basedOn w:val="1"/>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109</Words>
  <Characters>118</Characters>
  <Lines>62</Lines>
  <Paragraphs>35</Paragraphs>
  <TotalTime>9</TotalTime>
  <ScaleCrop>false</ScaleCrop>
  <LinksUpToDate>false</LinksUpToDate>
  <CharactersWithSpaces>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2026-05-17T06:22:00Z</dcterms:created>
  <dc:creator>Apache POI</dc:creator>
  <cp:lastModifiedBy>WPS_1689668060</cp:lastModifiedBy>
  <cp:lastPrinted>2026-09-11T09:01:48Z</cp:lastPrinted>
  <dcterms:modified xsi:type="dcterms:W3CDTF">2026-09-11T09:02:17Z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056DE1D4BA374C33BCF1D6BA4FFD0561_13</vt:lpwstr>
  </property>
  <property fmtid="{D5CDD505-2E9C-101B-9397-08002B2CF9AE}" pid="4" name="KSOTemplateDocerSaveRecord">
    <vt:lpwstr>eyJoZGlkIjoiODRkY2RlNGM5YjA4ZDY4YzcyNmU4YzkyMzc4ZjE3YTEiLCJ1c2VySWQiOiIxNTE0MzIwMzUwIn0=</vt:lpwstr>
  </property>
</Properties>
</file>