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C89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/>
        <w:jc w:val="center"/>
      </w:pPr>
      <w:r>
        <w:rPr>
          <w:rFonts w:ascii="方正小标宋_GBK" w:hAnsi="方正小标宋_GBK" w:eastAsia="方正小标宋_GBK" w:cs="方正小标宋_GBK"/>
          <w:spacing w:val="0"/>
          <w:sz w:val="43"/>
          <w:szCs w:val="43"/>
          <w:bdr w:val="none" w:color="auto" w:sz="0" w:space="0"/>
        </w:rPr>
        <w:t>2024年度述法报告</w:t>
      </w:r>
    </w:p>
    <w:p w14:paraId="0FB1CA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/>
        <w:jc w:val="center"/>
      </w:pPr>
      <w:r>
        <w:rPr>
          <w:rFonts w:ascii="方正楷体_GBK" w:hAnsi="方正楷体_GBK" w:eastAsia="方正楷体_GBK" w:cs="方正楷体_GBK"/>
          <w:spacing w:val="0"/>
          <w:sz w:val="31"/>
          <w:szCs w:val="31"/>
          <w:bdr w:val="none" w:color="auto" w:sz="0" w:space="0"/>
        </w:rPr>
        <w:t>查汗采开乡党委书记</w:t>
      </w:r>
      <w:r>
        <w:rPr>
          <w:rFonts w:hint="eastAsia" w:ascii="方正楷体_GBK" w:hAnsi="方正楷体_GBK" w:eastAsia="方正楷体_GBK" w:cs="方正楷体_GBK"/>
          <w:spacing w:val="0"/>
          <w:sz w:val="31"/>
          <w:szCs w:val="31"/>
          <w:bdr w:val="none" w:color="auto" w:sz="0" w:space="0"/>
        </w:rPr>
        <w:t>   王新华</w:t>
      </w:r>
    </w:p>
    <w:p w14:paraId="556C75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/>
      </w:pPr>
      <w:r>
        <w:rPr>
          <w:rFonts w:ascii="仿宋_GB2312" w:eastAsia="仿宋_GB2312" w:cs="仿宋_GB2312"/>
          <w:sz w:val="31"/>
          <w:szCs w:val="31"/>
          <w:bdr w:val="none" w:color="auto" w:sz="0" w:space="0"/>
        </w:rPr>
        <w:t> </w:t>
      </w:r>
    </w:p>
    <w:p w14:paraId="7D598F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default" w:ascii="仿宋_GB2312" w:eastAsia="仿宋_GB2312" w:cs="仿宋_GB2312"/>
          <w:sz w:val="31"/>
          <w:szCs w:val="31"/>
          <w:bdr w:val="none" w:color="auto" w:sz="0" w:space="0"/>
        </w:rPr>
        <w:t>根据工作要求，现述法如下:</w:t>
      </w:r>
    </w:p>
    <w:p w14:paraId="292140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ascii="黑体" w:hAnsi="宋体" w:eastAsia="黑体" w:cs="黑体"/>
          <w:sz w:val="31"/>
          <w:szCs w:val="31"/>
          <w:bdr w:val="none" w:color="auto" w:sz="0" w:space="0"/>
        </w:rPr>
        <w:t>一、履职情况</w:t>
      </w:r>
    </w:p>
    <w:p w14:paraId="65BA27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方正楷体_GBK" w:hAnsi="方正楷体_GBK" w:eastAsia="方正楷体_GBK" w:cs="方正楷体_GBK"/>
          <w:sz w:val="31"/>
          <w:szCs w:val="31"/>
          <w:bdr w:val="none" w:color="auto" w:sz="0" w:space="0"/>
        </w:rPr>
        <w:t>（一）加强法律学习培训，不断提高学法用法思想理念。</w:t>
      </w:r>
      <w:r>
        <w:rPr>
          <w:rFonts w:ascii="方正仿宋_GBK" w:hAnsi="方正仿宋_GBK" w:eastAsia="方正仿宋_GBK" w:cs="方正仿宋_GBK"/>
          <w:sz w:val="31"/>
          <w:szCs w:val="31"/>
          <w:bdr w:val="none" w:color="auto" w:sz="0" w:space="0"/>
        </w:rPr>
        <w:t>2024年，深入贯彻</w:t>
      </w: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</w:rPr>
        <w:t>习近平法治思想认真履行推进法治建设第一责任人职责，扎实推进法治乡镇建设各项工作、作为一项重点工作安排部署，2024年党委中心组学习法律法规12次，党员干部集中学习48次。按要求参加“逢九必讲”学习培训，督促党员干部学法用法，重点学习了《宪法》、《中华人民共和国民法典》等法律法规及上级政策文件。通过学习，使乡村两级领导干部依法行政、依法办事意识有了进一步增强，法律素质、依法行政的能力进一步提高。</w:t>
      </w:r>
    </w:p>
    <w:p w14:paraId="24DE1C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方正楷体_GBK" w:hAnsi="方正楷体_GBK" w:eastAsia="方正楷体_GBK" w:cs="方正楷体_GBK"/>
          <w:sz w:val="31"/>
          <w:szCs w:val="31"/>
          <w:bdr w:val="none" w:color="auto" w:sz="0" w:space="0"/>
        </w:rPr>
        <w:t>（二）</w:t>
      </w:r>
      <w:r>
        <w:rPr>
          <w:rFonts w:hint="eastAsia" w:ascii="方正楷体_GBK" w:hAnsi="方正楷体_GBK" w:eastAsia="方正楷体_GBK" w:cs="方正楷体_GBK"/>
          <w:color w:val="323232"/>
          <w:spacing w:val="0"/>
          <w:sz w:val="31"/>
          <w:szCs w:val="31"/>
          <w:bdr w:val="none" w:color="auto" w:sz="0" w:space="0"/>
        </w:rPr>
        <w:t>扛牢政治责任，夯实法治建设基础。</w:t>
      </w:r>
      <w:r>
        <w:rPr>
          <w:rFonts w:hint="eastAsia" w:ascii="方正仿宋_GBK" w:hAnsi="方正仿宋_GBK" w:eastAsia="方正仿宋_GBK" w:cs="方正仿宋_GBK"/>
          <w:color w:val="323232"/>
          <w:spacing w:val="0"/>
          <w:sz w:val="31"/>
          <w:szCs w:val="31"/>
          <w:bdr w:val="none" w:color="auto" w:sz="0" w:space="0"/>
        </w:rPr>
        <w:t>主动担当履职：将习近平法治思想贯穿党委工作，把法治建设与经济社会发展同部署推进，研究解决重大问题，推动法治建设有序开展.在法治建设征程中，我乡坚守政治担当，多维度发力，筑牢法治建设根基，亮点纷呈。一是思想铸魂，点亮法治信仰之光；领导班子“领学+研讨”，深入学习习近平法治思想，将其纳入党委中心组学习重点，组织专题研讨12次，结合乡村治理实际，撰写心得体会，提升法治理论素养，精准锚定法治建设方向，为全乡法治工作谋篇布局奠定思想基础。面向乡村干部开展“法治讲堂”，邀请专家学者、法律实务人员授课5场，解读法律法规，剖析乡村法治案例，培训干部65余人次，实现法治教育全覆盖，促使干部从“要我学法”转变为“我要学法用法”，为法治建设注入内生动力。二是制度固本，扎紧法治规范之篱；优化重大行政决策程序，建立合法性审查小组，对涉及乡村发展的重大事项决策，从法律专业角度审查把关3项，确保决策合法合规，在重大项目决策中，严格审查流程，保障项目在法治轨道上推进，防范决策风险，提升政府公信力。三是文化润心，厚植法治底蕴之土；打造“法治文化长廊”，在乡村主干道、文化广场等人员聚集区，设置法治宣传栏、以图文并茂、通俗易懂的形式宣传法律法规，让群众在潜移默化中接受法治熏陶，增强法治观念。</w:t>
      </w:r>
    </w:p>
    <w:p w14:paraId="0FC4C5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方正楷体_GBK" w:hAnsi="方正楷体_GBK" w:eastAsia="方正楷体_GBK" w:cs="方正楷体_GBK"/>
          <w:sz w:val="31"/>
          <w:szCs w:val="31"/>
          <w:bdr w:val="none" w:color="auto" w:sz="0" w:space="0"/>
        </w:rPr>
        <w:t>（三）</w:t>
      </w:r>
      <w:r>
        <w:rPr>
          <w:rFonts w:hint="eastAsia" w:ascii="方正楷体_GBK" w:hAnsi="方正楷体_GBK" w:eastAsia="方正楷体_GBK" w:cs="方正楷体_GBK"/>
          <w:color w:val="323232"/>
          <w:spacing w:val="0"/>
          <w:sz w:val="31"/>
          <w:szCs w:val="31"/>
          <w:bdr w:val="none" w:color="auto" w:sz="0" w:space="0"/>
        </w:rPr>
        <w:t>推进深学细悟，打造过硬法治队伍。</w:t>
      </w:r>
      <w:r>
        <w:rPr>
          <w:rFonts w:hint="default" w:ascii="仿宋_GB2312" w:eastAsia="仿宋_GB2312" w:cs="仿宋_GB2312"/>
          <w:color w:val="323232"/>
          <w:spacing w:val="0"/>
          <w:sz w:val="31"/>
          <w:szCs w:val="31"/>
          <w:bdr w:val="none" w:color="auto" w:sz="0" w:space="0"/>
        </w:rPr>
        <w:t>抓实法治学习：带头学习全面依法治国新理念等，通过多种形式集中学习习近平法治思想、《中华人民共和国民法典》等，并邀请法律业务骨干等开展宣讲，增强学习实效性。提升法治素养：定期组织机关干部参加法治教育培训，加强日常督查检查，引导干部养成办事依法等良好习惯。树立鲜明导向：将遵守法律、依法办事情况作为干部配备等的重要内容，优先使用法治素养好、依法办事能力强的干部。</w:t>
      </w:r>
    </w:p>
    <w:p w14:paraId="32D10F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方正楷体_GBK" w:hAnsi="方正楷体_GBK" w:eastAsia="方正楷体_GBK" w:cs="方正楷体_GBK"/>
          <w:color w:val="323232"/>
          <w:spacing w:val="0"/>
          <w:sz w:val="31"/>
          <w:szCs w:val="31"/>
          <w:bdr w:val="none" w:color="auto" w:sz="0" w:space="0"/>
        </w:rPr>
        <w:t>（四）紧抓重点环节，全面推进依法行政。</w:t>
      </w:r>
      <w:r>
        <w:rPr>
          <w:rFonts w:hint="eastAsia" w:ascii="方正仿宋_GBK" w:hAnsi="方正仿宋_GBK" w:eastAsia="方正仿宋_GBK" w:cs="方正仿宋_GBK"/>
          <w:color w:val="323232"/>
          <w:spacing w:val="0"/>
          <w:sz w:val="31"/>
          <w:szCs w:val="31"/>
          <w:bdr w:val="none" w:color="auto" w:sz="0" w:space="0"/>
        </w:rPr>
        <w:t>营造守法氛围：带头落实普法责任制，以“八五”普法为抓手，通过多种方式开展普法活动，如“宪法宣传周”等，强化群众法治思维。严格决策程序：凡重大决策，经充分调研、征求意见后，由党委会集体讨论决定，并落实法律顾问等制度，加强对党委文件等的合法合规性审查。推进政务公开：及时公开重点项目实施等热点问题，接受群众监督质询，增强工作透明度.</w:t>
      </w:r>
    </w:p>
    <w:p w14:paraId="432258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方正楷体_GBK" w:hAnsi="方正楷体_GBK" w:eastAsia="方正楷体_GBK" w:cs="方正楷体_GBK"/>
          <w:color w:val="323232"/>
          <w:spacing w:val="0"/>
          <w:sz w:val="31"/>
          <w:szCs w:val="31"/>
          <w:bdr w:val="none" w:color="auto" w:sz="0" w:space="0"/>
        </w:rPr>
        <w:t>（五）依法化解矛盾，维护社会和谐稳定。</w:t>
      </w:r>
      <w:r>
        <w:rPr>
          <w:rFonts w:hint="eastAsia" w:ascii="方正仿宋_GBK" w:hAnsi="方正仿宋_GBK" w:eastAsia="方正仿宋_GBK" w:cs="方正仿宋_GBK"/>
          <w:color w:val="323232"/>
          <w:spacing w:val="0"/>
          <w:sz w:val="31"/>
          <w:szCs w:val="31"/>
          <w:bdr w:val="none" w:color="auto" w:sz="0" w:space="0"/>
        </w:rPr>
        <w:t>健全调解机制：完善人民调解、行政调解、司法调解联动工作体系，发挥调解委员会等作用，及时化解矛盾纠纷，做到小事不出村、大事不出乡。加强信访工作：落实信访工作责任制，依法处理信访问题，引导群众依法信访，维护信访秩序，及时解决群众合理诉求</w:t>
      </w: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</w:rPr>
        <w:t>，化解社会矛盾.</w:t>
      </w:r>
    </w:p>
    <w:p w14:paraId="03F935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方正楷体_GBK" w:hAnsi="方正楷体_GBK" w:eastAsia="方正楷体_GBK" w:cs="方正楷体_GBK"/>
          <w:sz w:val="31"/>
          <w:szCs w:val="31"/>
          <w:bdr w:val="none" w:color="auto" w:sz="0" w:space="0"/>
        </w:rPr>
        <w:t>（六）加强制度建设，着力推进依法行政能力。</w:t>
      </w: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</w:rPr>
        <w:t>将培养习近平法治思想作为法治建设工作的一项重要内容，成立领导小组，健全工作机构，作为第一责任人，本人经常性地督促班子成员按照分工，明确职责，落实责任。定期组织研究法治建设工作，解决突出问题，做到统筹规划、上下联动，综合管理。将法治建设任务与经济社会发展任务同部署、同检查、同落实、同考核。建立健全重大行政决策合法性审查等制度，并认真组织实施。</w:t>
      </w:r>
    </w:p>
    <w:p w14:paraId="1D1D95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方正楷体_GBK" w:hAnsi="方正楷体_GBK" w:eastAsia="方正楷体_GBK" w:cs="方正楷体_GBK"/>
          <w:sz w:val="31"/>
          <w:szCs w:val="31"/>
          <w:bdr w:val="none" w:color="auto" w:sz="0" w:space="0"/>
        </w:rPr>
        <w:t>（七）规范行政行为，推进阳光查乡建设。</w:t>
      </w: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</w:rPr>
        <w:t>一是建立健全重大行政决策机制，完善政务公开制度。着力抓好办事流程、收费项目的信息公开，进一步增加工作透明度。二是按照《信访工作条例》规定，依法办理信访案件，着力稳控，及时消除土地纠纷等信访隐患，处置好各类信访及矛盾纠纷案件，群众满意度显著提高。三是广泛开展法治宣传。认真落实全国法治宣传日等各项宣传活动，充分发挥微信群等新媒体平台的作用，开展反电信诈骗、扫黑除恶、禁毒等法律法规的宣传，在全乡营造良好的法治氛围，将法治思维贯穿到工作、学习、生活的全过程。</w:t>
      </w:r>
    </w:p>
    <w:p w14:paraId="47EED5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黑体" w:hAnsi="宋体" w:eastAsia="黑体" w:cs="黑体"/>
          <w:sz w:val="31"/>
          <w:szCs w:val="31"/>
          <w:bdr w:val="none" w:color="auto" w:sz="0" w:space="0"/>
        </w:rPr>
        <w:t>二、工作亮点</w:t>
      </w:r>
    </w:p>
    <w:p w14:paraId="21FAF3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方正楷体_GBK" w:hAnsi="方正楷体_GBK" w:eastAsia="方正楷体_GBK" w:cs="方正楷体_GBK"/>
          <w:sz w:val="31"/>
          <w:szCs w:val="31"/>
          <w:bdr w:val="none" w:color="auto" w:sz="0" w:space="0"/>
        </w:rPr>
        <w:t>（一）法治建设引领作用强化。</w:t>
      </w: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</w:rPr>
        <w:t>作为法治建设“第一责任人”，将法治工作纳入党委重要议程，全年主持召开5次法治专题会议，研究制定乡村法治建设规划与年度计划，明确各部门法治任务，构建起“党委领导、部门主抓、全员参与”的法治工作格局，确保法治建设方向明确、推进有力，使法治理念深度融入全乡各项工作决策与执行中。</w:t>
      </w:r>
    </w:p>
    <w:p w14:paraId="7F3D67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方正楷体_GBK" w:hAnsi="方正楷体_GBK" w:eastAsia="方正楷体_GBK" w:cs="方正楷体_GBK"/>
          <w:sz w:val="31"/>
          <w:szCs w:val="31"/>
          <w:bdr w:val="none" w:color="auto" w:sz="0" w:space="0"/>
        </w:rPr>
        <w:t>（二）依法治理体系不断完善。</w:t>
      </w: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</w:rPr>
        <w:t>组织推动乡村治理制度建设，指导修订乡规民约，将法律法规与公序良俗相结合，增强村民法治意识与规则意识；建立“一站式”矛盾纠纷调解中心，整合司法、综治等资源，成功调解纠纷136起，调解成功率达100%，实现小事不出村、大事不出乡、矛盾不上交，全乡信访量同比下降90%，营造和谐稳定的发展环境，乡村依法治理效能显著提升。</w:t>
      </w:r>
    </w:p>
    <w:p w14:paraId="4B7167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黑体" w:hAnsi="宋体" w:eastAsia="黑体" w:cs="黑体"/>
          <w:sz w:val="31"/>
          <w:szCs w:val="31"/>
          <w:bdr w:val="none" w:color="auto" w:sz="0" w:space="0"/>
        </w:rPr>
        <w:t>三、下一步工作</w:t>
      </w:r>
    </w:p>
    <w:p w14:paraId="2E1050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方正楷体_GBK" w:hAnsi="方正楷体_GBK" w:eastAsia="方正楷体_GBK" w:cs="方正楷体_GBK"/>
          <w:sz w:val="31"/>
          <w:szCs w:val="31"/>
          <w:bdr w:val="none" w:color="auto" w:sz="0" w:space="0"/>
        </w:rPr>
        <w:t>（一）</w:t>
      </w:r>
      <w:r>
        <w:rPr>
          <w:rFonts w:hint="eastAsia" w:ascii="方正楷体_GBK" w:hAnsi="方正楷体_GBK" w:eastAsia="方正楷体_GBK" w:cs="方正楷体_GBK"/>
          <w:color w:val="323232"/>
          <w:spacing w:val="0"/>
          <w:sz w:val="31"/>
          <w:szCs w:val="31"/>
          <w:bdr w:val="none" w:color="auto" w:sz="0" w:space="0"/>
        </w:rPr>
        <w:t>创新法治宣传教育模式：</w:t>
      </w:r>
      <w:r>
        <w:rPr>
          <w:rFonts w:hint="eastAsia" w:ascii="方正仿宋_GBK" w:hAnsi="方正仿宋_GBK" w:eastAsia="方正仿宋_GBK" w:cs="方正仿宋_GBK"/>
          <w:color w:val="323232"/>
          <w:spacing w:val="0"/>
          <w:sz w:val="31"/>
          <w:szCs w:val="31"/>
          <w:bdr w:val="none" w:color="auto" w:sz="0" w:space="0"/>
        </w:rPr>
        <w:t>利用微信公众号、短视频平台等新媒体，制作并推送贴近乡村生活的法治案例、法规解读视频；开展“法治文化下乡”活动，组织法治文艺演出、法律知识竞赛等，提高村民参与度；针对不同群体，如青少年、老年人，编写专属法治宣传资料，精准提升法治意识。</w:t>
      </w:r>
    </w:p>
    <w:p w14:paraId="3F5916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方正楷体_GBK" w:hAnsi="方正楷体_GBK" w:eastAsia="方正楷体_GBK" w:cs="方正楷体_GBK"/>
          <w:sz w:val="31"/>
          <w:szCs w:val="31"/>
          <w:bdr w:val="none" w:color="auto" w:sz="0" w:space="0"/>
        </w:rPr>
        <w:t>（二）</w:t>
      </w:r>
      <w:r>
        <w:rPr>
          <w:rFonts w:hint="eastAsia" w:ascii="方正楷体_GBK" w:hAnsi="方正楷体_GBK" w:eastAsia="方正楷体_GBK" w:cs="方正楷体_GBK"/>
          <w:color w:val="323232"/>
          <w:spacing w:val="0"/>
          <w:sz w:val="31"/>
          <w:szCs w:val="31"/>
          <w:bdr w:val="none" w:color="auto" w:sz="0" w:space="0"/>
        </w:rPr>
        <w:t>强化执法队伍建设：</w:t>
      </w:r>
      <w:r>
        <w:rPr>
          <w:rFonts w:hint="eastAsia" w:ascii="方正仿宋_GBK" w:hAnsi="方正仿宋_GBK" w:eastAsia="方正仿宋_GBK" w:cs="方正仿宋_GBK"/>
          <w:color w:val="323232"/>
          <w:spacing w:val="0"/>
          <w:sz w:val="31"/>
          <w:szCs w:val="31"/>
          <w:bdr w:val="none" w:color="auto" w:sz="0" w:space="0"/>
        </w:rPr>
        <w:t>定期组织执法人员参加专业法律培训，邀请法律专家授课，重点培训行政处罚法、行政强制法等与基层执法紧密相关法律法规；完善执法监督机制，建立执法全过程记录、定期案件评查制度，规范执法行为，提升执法水平。</w:t>
      </w:r>
    </w:p>
    <w:p w14:paraId="6A7B6A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方正楷体_GBK" w:hAnsi="方正楷体_GBK" w:eastAsia="方正楷体_GBK" w:cs="方正楷体_GBK"/>
          <w:sz w:val="31"/>
          <w:szCs w:val="31"/>
          <w:bdr w:val="none" w:color="auto" w:sz="0" w:space="0"/>
        </w:rPr>
        <w:t>（三）</w:t>
      </w:r>
      <w:r>
        <w:rPr>
          <w:rFonts w:hint="eastAsia" w:ascii="方正楷体_GBK" w:hAnsi="方正楷体_GBK" w:eastAsia="方正楷体_GBK" w:cs="方正楷体_GBK"/>
          <w:color w:val="323232"/>
          <w:spacing w:val="0"/>
          <w:sz w:val="31"/>
          <w:szCs w:val="31"/>
          <w:bdr w:val="none" w:color="auto" w:sz="0" w:space="0"/>
        </w:rPr>
        <w:t>优化法治建设协同机制：</w:t>
      </w:r>
      <w:r>
        <w:rPr>
          <w:rFonts w:hint="eastAsia" w:ascii="方正仿宋_GBK" w:hAnsi="方正仿宋_GBK" w:eastAsia="方正仿宋_GBK" w:cs="方正仿宋_GBK"/>
          <w:color w:val="323232"/>
          <w:spacing w:val="0"/>
          <w:sz w:val="31"/>
          <w:szCs w:val="31"/>
          <w:bdr w:val="none" w:color="auto" w:sz="0" w:space="0"/>
        </w:rPr>
        <w:t>构建乡党委统一领导、各站所和村委会共同参与的法治建设联席会议制度，每月定期召开会议，共享法治工作信息，共同商讨解决涉法难题；明确各部门在法治建设中的职责分工，制定详细任务清单和考核标准，加强部门间协作配合。</w:t>
      </w:r>
    </w:p>
    <w:p w14:paraId="229FFE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方正楷体_GBK" w:hAnsi="方正楷体_GBK" w:eastAsia="方正楷体_GBK" w:cs="方正楷体_GBK"/>
          <w:sz w:val="31"/>
          <w:szCs w:val="31"/>
          <w:bdr w:val="none" w:color="auto" w:sz="0" w:space="0"/>
        </w:rPr>
        <w:t>（四）</w:t>
      </w:r>
      <w:r>
        <w:rPr>
          <w:rFonts w:hint="eastAsia" w:ascii="方正楷体_GBK" w:hAnsi="方正楷体_GBK" w:eastAsia="方正楷体_GBK" w:cs="方正楷体_GBK"/>
          <w:color w:val="323232"/>
          <w:spacing w:val="0"/>
          <w:sz w:val="31"/>
          <w:szCs w:val="31"/>
          <w:bdr w:val="none" w:color="auto" w:sz="0" w:space="0"/>
        </w:rPr>
        <w:t>健全依法决策制度体系：</w:t>
      </w:r>
      <w:r>
        <w:rPr>
          <w:rFonts w:hint="eastAsia" w:ascii="方正仿宋_GBK" w:hAnsi="方正仿宋_GBK" w:eastAsia="方正仿宋_GBK" w:cs="方正仿宋_GBK"/>
          <w:color w:val="323232"/>
          <w:spacing w:val="0"/>
          <w:sz w:val="31"/>
          <w:szCs w:val="31"/>
          <w:bdr w:val="none" w:color="auto" w:sz="0" w:space="0"/>
        </w:rPr>
        <w:t>成立由法律专业人士、资深干部组成的决策咨询委员会，对重大决策进行全面深入合法性审查；建立决策风险评估机制，将法律风险作为重要评估指标，引入第三方评估机构，确保决策合法合规、科学合理，避免因决策失误引发法律纠纷。</w:t>
      </w:r>
    </w:p>
    <w:p w14:paraId="431076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ascii="Tahoma" w:hAnsi="Tahoma" w:eastAsia="Tahoma" w:cs="Tahoma"/>
          <w:sz w:val="22"/>
          <w:szCs w:val="22"/>
          <w:bdr w:val="none" w:color="auto" w:sz="0" w:space="0"/>
        </w:rPr>
        <w:t> </w:t>
      </w:r>
    </w:p>
    <w:p w14:paraId="2A15FD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401A7AA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C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2025-04-10T10:34:41Z</dcterms:created>
  <dc:creator>Administrator</dc:creator>
  <cp:lastModifiedBy>猫九</cp:lastModifiedBy>
  <dcterms:modified xsi:type="dcterms:W3CDTF">2025-04-10T10:34:50Z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eyJoZGlkIjoiNTgzZDA0YjRlZGIxYmNhM2E0YmMwNWIzNTEwZjdlNmMiLCJ1c2VySWQiOiI0NDUwMDk3MTUifQ==</vt:lpwstr>
  </property>
  <property fmtid="{D5CDD505-2E9C-101B-9397-08002B2CF9AE}" pid="4" name="ICV">
    <vt:lpwstr>501F8CB76FE646AFBA0C15E2D6DCEF23_12</vt:lpwstr>
  </property>
</Properties>
</file>