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DC211">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2024年度述法报告</w:t>
      </w:r>
    </w:p>
    <w:p w14:paraId="621A51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查汗采开乡党委副书记、乡长   艾合买提·巴拉提</w:t>
      </w:r>
    </w:p>
    <w:p w14:paraId="1EE40B1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b w:val="0"/>
          <w:bCs w:val="0"/>
          <w:sz w:val="32"/>
          <w:szCs w:val="32"/>
          <w:lang w:val="en-US" w:eastAsia="zh-CN"/>
        </w:rPr>
      </w:pPr>
    </w:p>
    <w:p w14:paraId="260880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方正仿宋_GBK"/>
          <w:b w:val="0"/>
          <w:bCs w:val="0"/>
          <w:sz w:val="32"/>
          <w:szCs w:val="32"/>
          <w:lang w:val="en-US" w:eastAsia="zh-CN"/>
        </w:rPr>
        <w:t>根据工作要求</w:t>
      </w:r>
      <w:r>
        <w:rPr>
          <w:rFonts w:ascii="Times New Roman" w:hAnsi="Times New Roman" w:eastAsia="方正仿宋_GBK"/>
          <w:b w:val="0"/>
          <w:bCs w:val="0"/>
          <w:sz w:val="32"/>
          <w:szCs w:val="32"/>
          <w:lang w:val="en-US" w:eastAsia="zh-CN"/>
        </w:rPr>
        <w:t>，</w:t>
      </w:r>
      <w:r>
        <w:rPr>
          <w:rFonts w:hint="eastAsia" w:ascii="Times New Roman" w:hAnsi="Times New Roman" w:eastAsia="方正仿宋_GBK"/>
          <w:b w:val="0"/>
          <w:bCs w:val="0"/>
          <w:sz w:val="32"/>
          <w:szCs w:val="32"/>
          <w:lang w:val="en-US" w:eastAsia="zh-CN"/>
        </w:rPr>
        <w:t>现述法如下：</w:t>
      </w:r>
      <w:bookmarkStart w:id="0" w:name="_GoBack"/>
      <w:bookmarkEnd w:id="0"/>
    </w:p>
    <w:p w14:paraId="31A763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一、履职情况</w:t>
      </w:r>
    </w:p>
    <w:p w14:paraId="21424D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（一）思想政治建设方面：</w:t>
      </w:r>
      <w:r>
        <w:rPr>
          <w:rFonts w:hint="eastAsia" w:ascii="方正仿宋_GBK" w:hAnsi="方正仿宋_GBK" w:eastAsia="方正仿宋_GBK" w:cs="方正仿宋_GBK"/>
          <w:b w:val="0"/>
          <w:bCs w:val="0"/>
          <w:sz w:val="32"/>
          <w:szCs w:val="32"/>
        </w:rPr>
        <w:t>始终把政治理论学习摆在突出位置，深入学习习近平</w:t>
      </w:r>
      <w:r>
        <w:rPr>
          <w:rFonts w:hint="eastAsia" w:ascii="方正仿宋_GBK" w:hAnsi="方正仿宋_GBK" w:eastAsia="方正仿宋_GBK" w:cs="方正仿宋_GBK"/>
          <w:b w:val="0"/>
          <w:bCs w:val="0"/>
          <w:sz w:val="32"/>
          <w:szCs w:val="32"/>
          <w:lang w:eastAsia="zh-CN"/>
        </w:rPr>
        <w:t>法治</w:t>
      </w:r>
      <w:r>
        <w:rPr>
          <w:rFonts w:hint="eastAsia" w:ascii="方正仿宋_GBK" w:hAnsi="方正仿宋_GBK" w:eastAsia="方正仿宋_GBK" w:cs="方正仿宋_GBK"/>
          <w:b w:val="0"/>
          <w:bCs w:val="0"/>
          <w:sz w:val="32"/>
          <w:szCs w:val="32"/>
        </w:rPr>
        <w:t>思想</w:t>
      </w:r>
      <w:r>
        <w:rPr>
          <w:rFonts w:hint="eastAsia" w:ascii="方正仿宋_GBK" w:hAnsi="方正仿宋_GBK" w:eastAsia="方正仿宋_GBK" w:cs="方正仿宋_GBK"/>
          <w:b w:val="0"/>
          <w:bCs w:val="0"/>
          <w:snapToGrid w:val="0"/>
          <w:sz w:val="32"/>
          <w:szCs w:val="32"/>
        </w:rPr>
        <w:t>，</w:t>
      </w:r>
      <w:r>
        <w:rPr>
          <w:rFonts w:hint="eastAsia" w:ascii="方正仿宋_GBK" w:hAnsi="方正仿宋_GBK" w:eastAsia="方正仿宋_GBK" w:cs="方正仿宋_GBK"/>
          <w:b w:val="0"/>
          <w:bCs w:val="0"/>
          <w:sz w:val="32"/>
          <w:szCs w:val="32"/>
        </w:rPr>
        <w:t>做到学思用贯通、知信行合一。积极参加党的组织生活，自觉增强政治敏锐性和政治鉴别性，坚定不移贯彻落实党中央治疆方略特别是社会稳定和长治久安总目标和自治区、自治州、自治县党委工作要求，努力提高自身综合素质和履职尽责的能力水平，为统筹全乡工作奠定了良好的理论和思想基础</w:t>
      </w:r>
      <w:r>
        <w:rPr>
          <w:rFonts w:hint="eastAsia" w:ascii="方正仿宋_GBK" w:hAnsi="方正仿宋_GBK" w:eastAsia="方正仿宋_GBK" w:cs="方正仿宋_GBK"/>
          <w:b w:val="0"/>
          <w:bCs w:val="0"/>
          <w:sz w:val="32"/>
          <w:szCs w:val="32"/>
          <w:lang w:eastAsia="zh-CN"/>
        </w:rPr>
        <w:t>。</w:t>
      </w:r>
    </w:p>
    <w:p w14:paraId="61571C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napToGrid w:val="0"/>
          <w:sz w:val="32"/>
          <w:szCs w:val="32"/>
          <w:lang w:val="en-US" w:eastAsia="zh-CN"/>
        </w:rPr>
        <w:t>加强法治学习，提升法治素养：</w:t>
      </w:r>
      <w:r>
        <w:rPr>
          <w:rFonts w:hint="eastAsia" w:ascii="方正仿宋_GBK" w:hAnsi="方正仿宋_GBK" w:eastAsia="方正仿宋_GBK" w:cs="方正仿宋_GBK"/>
          <w:b w:val="0"/>
          <w:bCs w:val="0"/>
          <w:snapToGrid w:val="0"/>
          <w:sz w:val="32"/>
          <w:szCs w:val="32"/>
          <w:lang w:val="en-US" w:eastAsia="zh-CN"/>
        </w:rPr>
        <w:t>坚持以学为先，将法律法规学习作为重要政治任务和日常必修课。积极参加上级组织的法治培训，深入学习宪法、民法典、行政处罚法等法律法规，以及与我乡工作密切相关的农业农村、自然资源、生态环境等方面的政策法规，累计学习时长超过36小时，撰写学习笔记2余篇，不断增强自身法治意识和依法办事能力。同时，组织全乡干部开展法治专题讲座2场次，通过案例分析、交流研讨等形式，带动全镇干部形成尊法、学法、守法、用法的良好氛围，确保全体干部在工作中能够自觉运用法治思维和法治方式解决问题。</w:t>
      </w:r>
    </w:p>
    <w:p w14:paraId="61D103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（三）社会稳定方面：</w:t>
      </w:r>
      <w:r>
        <w:rPr>
          <w:rFonts w:hint="eastAsia" w:ascii="方正仿宋_GBK" w:hAnsi="方正仿宋_GBK" w:eastAsia="方正仿宋_GBK" w:cs="方正仿宋_GBK"/>
          <w:b w:val="0"/>
          <w:bCs w:val="0"/>
          <w:i w:val="0"/>
          <w:iCs w:val="0"/>
          <w:snapToGrid w:val="0"/>
          <w:color w:val="000000"/>
          <w:spacing w:val="4"/>
          <w:kern w:val="0"/>
          <w:position w:val="0"/>
          <w:sz w:val="32"/>
          <w:szCs w:val="32"/>
          <w:lang w:val="en-US" w:eastAsia="zh-CN" w:bidi="ar-SA"/>
        </w:rPr>
        <w:t>一是全面落实意识形态工作责任制。每季度召开意识形态分析研判会议，确保及时、全面、有序地开展意识形态领域各项工作；二是</w:t>
      </w:r>
      <w:r>
        <w:rPr>
          <w:rFonts w:hint="eastAsia" w:ascii="方正仿宋_GBK" w:hAnsi="方正仿宋_GBK" w:eastAsia="方正仿宋_GBK" w:cs="方正仿宋_GBK"/>
          <w:b w:val="0"/>
          <w:bCs w:val="0"/>
          <w:color w:val="auto"/>
          <w:spacing w:val="4"/>
          <w:kern w:val="2"/>
          <w:sz w:val="32"/>
          <w:szCs w:val="32"/>
          <w:highlight w:val="none"/>
          <w:lang w:val="en-US" w:eastAsia="zh-CN" w:bidi="ar-SA"/>
        </w:rPr>
        <w:t>紧盯风险隐患，认真落实研判机制。今年以来，乡村两级共召开风险隐患研判会议185余场次，梳理境外通联喂料、新生代服务管理难、意识形态暗流抬头、防交通防溺水安全等4条主要长期风险隐患，制定了化解措施。</w:t>
      </w:r>
    </w:p>
    <w:p w14:paraId="2E4C91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四</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napToGrid w:val="0"/>
          <w:sz w:val="32"/>
          <w:szCs w:val="32"/>
          <w:lang w:val="en-US" w:eastAsia="zh-CN"/>
        </w:rPr>
        <w:t>推进依法行政，规范权力运行</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napToGrid w:val="0"/>
          <w:sz w:val="32"/>
          <w:szCs w:val="32"/>
          <w:lang w:val="en-US" w:eastAsia="zh-CN"/>
        </w:rPr>
        <w:t>严格落实重大行政决策程序，对涉及全乡经济社会发展的重大事项、重大项目建设、民生工程等决策，均通过乡党委会议集体研究讨论，并充分征求法律顾问、群众代表、专家学者等各方意见建议，确保决策合法合规、科学民主。</w:t>
      </w:r>
      <w:r>
        <w:rPr>
          <w:rFonts w:hint="eastAsia" w:ascii="方正仿宋_GBK" w:hAnsi="方正仿宋_GBK" w:eastAsia="方正仿宋_GBK" w:cs="方正仿宋_GBK"/>
          <w:b w:val="0"/>
          <w:bCs w:val="0"/>
          <w:sz w:val="32"/>
          <w:szCs w:val="32"/>
        </w:rPr>
        <w:t>始终坚持以经济建设为中心，依托本乡资源优势，积极发展特色产业，不断推进农业结构调整和优化升级。通过引导农民发展优质高效农业、绿色生态农业和观光旅游等产业，实现了农民增收、农业增效的目标。同时，我们也积极引导农民扩大就业，鼓励他们参加技能培训和外出务工，带动了当地经济的发展。</w:t>
      </w:r>
    </w:p>
    <w:p w14:paraId="6E674F87">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ascii="仿宋" w:hAnsi="仿宋" w:eastAsia="仿宋" w:cs="仿宋"/>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（五）</w:t>
      </w:r>
      <w:r>
        <w:rPr>
          <w:rFonts w:hint="eastAsia" w:ascii="方正楷体_GBK" w:hAnsi="方正楷体_GBK" w:eastAsia="方正楷体_GBK" w:cs="方正楷体_GBK"/>
          <w:b w:val="0"/>
          <w:bCs w:val="0"/>
          <w:sz w:val="32"/>
          <w:szCs w:val="32"/>
          <w:lang w:eastAsia="zh-CN"/>
        </w:rPr>
        <w:t>乡村振兴</w:t>
      </w:r>
      <w:r>
        <w:rPr>
          <w:rFonts w:hint="eastAsia" w:ascii="方正楷体_GBK" w:hAnsi="方正楷体_GBK" w:eastAsia="方正楷体_GBK" w:cs="方正楷体_GBK"/>
          <w:b w:val="0"/>
          <w:bCs w:val="0"/>
          <w:sz w:val="32"/>
          <w:szCs w:val="32"/>
        </w:rPr>
        <w:t>方面</w:t>
      </w:r>
      <w:r>
        <w:rPr>
          <w:rFonts w:hint="eastAsia" w:ascii="方正楷体_GBK" w:hAnsi="方正楷体_GBK" w:eastAsia="方正楷体_GBK" w:cs="方正楷体_GBK"/>
          <w:b w:val="0"/>
          <w:bCs w:val="0"/>
          <w:sz w:val="32"/>
          <w:szCs w:val="32"/>
          <w:lang w:eastAsia="zh-CN"/>
        </w:rPr>
        <w:t>：</w:t>
      </w:r>
      <w:r>
        <w:rPr>
          <w:rFonts w:hint="default" w:ascii="Times New Roman" w:hAnsi="Times New Roman" w:eastAsia="方正仿宋_GBK" w:cs="Times New Roman"/>
          <w:b w:val="0"/>
          <w:bCs w:val="0"/>
          <w:spacing w:val="4"/>
          <w:sz w:val="32"/>
          <w:szCs w:val="32"/>
          <w:lang w:val="en-US" w:eastAsia="zh-CN"/>
        </w:rPr>
        <w:t>一</w:t>
      </w:r>
      <w:r>
        <w:rPr>
          <w:rFonts w:hint="eastAsia" w:ascii="仿宋_GB2312" w:hAnsi="仿宋_GB2312" w:eastAsia="仿宋_GB2312" w:cs="仿宋_GB2312"/>
          <w:b w:val="0"/>
          <w:bCs w:val="0"/>
          <w:spacing w:val="4"/>
          <w:sz w:val="32"/>
          <w:szCs w:val="32"/>
          <w:lang w:val="en-US" w:eastAsia="zh-CN"/>
        </w:rPr>
        <w:t>是扎实做好防返贫监测预警工作。乡级每月2次研判会，村级每周1次研判会，针对全乡51户三类户及94户脱贫户，专门召开专题会议</w:t>
      </w:r>
      <w:r>
        <w:rPr>
          <w:rFonts w:hint="eastAsia" w:ascii="仿宋_GB2312" w:hAnsi="仿宋_GB2312" w:eastAsia="仿宋_GB2312" w:cs="仿宋_GB2312"/>
          <w:b w:val="0"/>
          <w:bCs w:val="0"/>
          <w:spacing w:val="4"/>
          <w:sz w:val="32"/>
          <w:szCs w:val="32"/>
          <w:u w:val="none"/>
          <w:lang w:val="en-US" w:eastAsia="zh-CN"/>
        </w:rPr>
        <w:t>制定相应帮扶计划和具体措施；</w:t>
      </w:r>
      <w:r>
        <w:rPr>
          <w:rFonts w:hint="eastAsia" w:ascii="仿宋_GB2312" w:hAnsi="仿宋_GB2312" w:eastAsia="仿宋_GB2312" w:cs="仿宋_GB2312"/>
          <w:b w:val="0"/>
          <w:bCs w:val="0"/>
          <w:snapToGrid w:val="0"/>
          <w:spacing w:val="4"/>
          <w:sz w:val="32"/>
          <w:szCs w:val="32"/>
          <w:lang w:val="en-US" w:eastAsia="zh-CN" w:bidi="ar-SA"/>
        </w:rPr>
        <w:t>二是</w:t>
      </w:r>
      <w:r>
        <w:rPr>
          <w:rFonts w:hint="eastAsia" w:ascii="仿宋_GB2312" w:hAnsi="仿宋_GB2312" w:eastAsia="仿宋_GB2312" w:cs="仿宋_GB2312"/>
          <w:b w:val="0"/>
          <w:bCs w:val="0"/>
          <w:spacing w:val="4"/>
          <w:sz w:val="32"/>
          <w:szCs w:val="32"/>
          <w:u w:val="none"/>
          <w:lang w:val="en-US" w:eastAsia="zh-CN"/>
        </w:rPr>
        <w:t>积极争取项目资金扶持。今年实施乡村振兴项目2个，分别为“查汗采开乡莫哈尔苏木村污水治理基础设施建设项目”，“阿尔莫墩村农业机械采购项目”，项目资金总计520万元，均已实施完毕。三是打造庭院经济示范村、示范户。</w:t>
      </w:r>
    </w:p>
    <w:p w14:paraId="181656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napToGrid w:val="0"/>
          <w:sz w:val="32"/>
          <w:szCs w:val="32"/>
          <w:lang w:val="en-US" w:eastAsia="zh-CN"/>
        </w:rPr>
      </w:pPr>
      <w:r>
        <w:rPr>
          <w:rFonts w:hint="eastAsia" w:ascii="方正楷体_GBK" w:hAnsi="方正楷体_GBK" w:eastAsia="方正楷体_GBK" w:cs="方正楷体_GBK"/>
          <w:b w:val="0"/>
          <w:bCs w:val="0"/>
          <w:sz w:val="32"/>
          <w:szCs w:val="32"/>
          <w:lang w:val="en-US" w:eastAsia="zh-CN"/>
        </w:rPr>
        <w:t>（六）深化法治宣传，营造法治氛围：</w:t>
      </w:r>
      <w:r>
        <w:rPr>
          <w:rFonts w:hint="eastAsia" w:ascii="方正仿宋_GBK" w:hAnsi="方正仿宋_GBK" w:eastAsia="方正仿宋_GBK" w:cs="方正仿宋_GBK"/>
          <w:b w:val="0"/>
          <w:bCs w:val="0"/>
          <w:snapToGrid w:val="0"/>
          <w:sz w:val="32"/>
          <w:szCs w:val="32"/>
          <w:lang w:val="en-US" w:eastAsia="zh-CN"/>
        </w:rPr>
        <w:t>结合“八五”普法规划，组织开展形式多样、内容丰富的法治宣传教育活动，推动法治观念深入人心。利用“国家宪法日”“民法典宣传月”等重要时间节点，组织全乡干部职工、各村干部、志愿者深入集市、学校、企业、农村等场所，通过发放宣传资料、设置咨询台、举办法律知识讲座等方式，广泛宣传法律法规知识，累计发放宣传资料2万余份，解答群众法律咨询450余人次，举办各类法律讲座38场，受教育群众达1500余人次。增强法治宣传的吸引力和感染力。有效提升了群众对法律法规的知晓率和法治建设的参与度。</w:t>
      </w:r>
    </w:p>
    <w:p w14:paraId="75C2C9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napToGrid w:val="0"/>
          <w:sz w:val="32"/>
          <w:szCs w:val="32"/>
          <w:lang w:val="en-US" w:eastAsia="zh-CN"/>
        </w:rPr>
      </w:pPr>
      <w:r>
        <w:rPr>
          <w:rFonts w:hint="eastAsia" w:ascii="方正楷体_GBK" w:hAnsi="方正楷体_GBK" w:eastAsia="方正楷体_GBK" w:cs="方正楷体_GBK"/>
          <w:b w:val="0"/>
          <w:bCs w:val="0"/>
          <w:snapToGrid w:val="0"/>
          <w:sz w:val="32"/>
          <w:szCs w:val="32"/>
          <w:lang w:val="en-US" w:eastAsia="zh-CN"/>
        </w:rPr>
        <w:t>（七）强化执法监督，确保公正执法：</w:t>
      </w:r>
      <w:r>
        <w:rPr>
          <w:rFonts w:hint="eastAsia" w:ascii="方正仿宋_GBK" w:hAnsi="方正仿宋_GBK" w:eastAsia="方正仿宋_GBK" w:cs="方正仿宋_GBK"/>
          <w:b w:val="0"/>
          <w:bCs w:val="0"/>
          <w:snapToGrid w:val="0"/>
          <w:sz w:val="32"/>
          <w:szCs w:val="32"/>
          <w:lang w:val="en-US" w:eastAsia="zh-CN"/>
        </w:rPr>
        <w:t>加强对我乡综合执法队伍的监督管理，建立健全执法全过程记录、重大执法决定法制审核、执法公示等制度，明确执法责任，规范执法行为。定期组织开展执法案卷评查活动，对执法人员的执法程序、证据收集、法律适用、处罚决定等方面进行全面审查，及时发现并纠正执法过程中存在的问题，确保执法公正、规范、透明。今年以来，共开展执法案卷评查1次，评查案卷1件，提出整改意见3条，已全部整改到位。</w:t>
      </w:r>
    </w:p>
    <w:p w14:paraId="5E8458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napToGrid w:val="0"/>
          <w:sz w:val="32"/>
          <w:szCs w:val="32"/>
          <w:lang w:val="en-US" w:eastAsia="zh-CN"/>
        </w:rPr>
      </w:pPr>
      <w:r>
        <w:rPr>
          <w:rFonts w:hint="eastAsia" w:ascii="黑体" w:hAnsi="黑体" w:eastAsia="黑体" w:cs="黑体"/>
          <w:b w:val="0"/>
          <w:bCs w:val="0"/>
          <w:snapToGrid w:val="0"/>
          <w:sz w:val="32"/>
          <w:szCs w:val="32"/>
          <w:lang w:val="en-US" w:eastAsia="zh-CN"/>
        </w:rPr>
        <w:t>二、工作亮点</w:t>
      </w:r>
    </w:p>
    <w:p w14:paraId="60E71B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sz w:val="32"/>
          <w:szCs w:val="32"/>
          <w:lang w:val="en-US" w:eastAsia="zh-CN"/>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一</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napToGrid w:val="0"/>
          <w:sz w:val="32"/>
          <w:szCs w:val="32"/>
          <w:lang w:val="en-US" w:eastAsia="zh-CN"/>
        </w:rPr>
        <w:t>深入开展法治宣传教育。</w:t>
      </w:r>
      <w:r>
        <w:rPr>
          <w:rFonts w:hint="eastAsia" w:ascii="方正仿宋_GBK" w:hAnsi="方正仿宋_GBK" w:eastAsia="方正仿宋_GBK" w:cs="方正仿宋_GBK"/>
          <w:b w:val="0"/>
          <w:bCs w:val="0"/>
          <w:snapToGrid w:val="0"/>
          <w:sz w:val="32"/>
          <w:szCs w:val="32"/>
          <w:lang w:val="en-US" w:eastAsia="zh-CN"/>
        </w:rPr>
        <w:t>主导开展“法律进乡村”活动，举办普法讲座25场，覆盖群众1500余人次，发放宣传资料1500份，利用乡村广播、宣传栏等平台常态化宣传法律法规。重点针对土地承包、婚姻家庭、农民工权益等与群众切身利益相关法律问题进行解读，增强群众法治观念和依法维权意识，全乡尊法学法守法用法的社会风尚更加浓厚。</w:t>
      </w:r>
    </w:p>
    <w:p w14:paraId="1126F7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napToGrid w:val="0"/>
          <w:sz w:val="32"/>
          <w:szCs w:val="32"/>
          <w:lang w:val="en-US" w:eastAsia="zh-CN"/>
        </w:rPr>
      </w:pPr>
      <w:r>
        <w:rPr>
          <w:rFonts w:hint="eastAsia" w:ascii="方正楷体_GBK" w:hAnsi="方正楷体_GBK" w:eastAsia="方正楷体_GBK" w:cs="方正楷体_GBK"/>
          <w:b w:val="0"/>
          <w:bCs w:val="0"/>
          <w:sz w:val="32"/>
          <w:szCs w:val="32"/>
          <w:lang w:val="en-US" w:eastAsia="zh-CN"/>
        </w:rPr>
        <w:t>（二）</w:t>
      </w:r>
      <w:r>
        <w:rPr>
          <w:rFonts w:hint="eastAsia" w:ascii="方正楷体_GBK" w:hAnsi="方正楷体_GBK" w:eastAsia="方正楷体_GBK" w:cs="方正楷体_GBK"/>
          <w:b w:val="0"/>
          <w:bCs w:val="0"/>
          <w:snapToGrid w:val="0"/>
          <w:sz w:val="32"/>
          <w:szCs w:val="32"/>
          <w:lang w:val="en-US" w:eastAsia="zh-CN"/>
        </w:rPr>
        <w:t>打造“线上+线下”立体普法模式。</w:t>
      </w:r>
      <w:r>
        <w:rPr>
          <w:rFonts w:hint="eastAsia" w:ascii="方正仿宋_GBK" w:hAnsi="方正仿宋_GBK" w:eastAsia="方正仿宋_GBK" w:cs="方正仿宋_GBK"/>
          <w:b w:val="0"/>
          <w:bCs w:val="0"/>
          <w:snapToGrid w:val="0"/>
          <w:sz w:val="32"/>
          <w:szCs w:val="32"/>
          <w:lang w:val="en-US" w:eastAsia="zh-CN"/>
        </w:rPr>
        <w:t xml:space="preserve">线上，推出“青少年法治微课堂”系列动漫视频，以生动有趣的动画形象解读法律条文，累计播放量超0.4万次；开展线上法律知识竞赛，吸引60余名青少年参与，激发学习热情。线下，举办“模拟法庭”活动2场，让青少年亲身体验庭审流程，增强法治实践能力；组织法治主题演讲比赛，45名青少年讲述身边法治故事，提升法治表达与思维。 </w:t>
      </w:r>
    </w:p>
    <w:p w14:paraId="2238B7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b w:val="0"/>
          <w:bCs w:val="0"/>
          <w:sz w:val="32"/>
          <w:szCs w:val="32"/>
          <w:lang w:val="en-US" w:eastAsia="zh-CN"/>
        </w:rPr>
      </w:pPr>
      <w:r>
        <w:rPr>
          <w:rFonts w:hint="eastAsia" w:ascii="方正黑体_GBK" w:hAnsi="方正黑体_GBK" w:eastAsia="方正黑体_GBK"/>
          <w:b w:val="0"/>
          <w:bCs w:val="0"/>
          <w:sz w:val="32"/>
          <w:szCs w:val="32"/>
          <w:lang w:val="en-US" w:eastAsia="zh-CN"/>
        </w:rPr>
        <w:t>三、下一步工作</w:t>
      </w:r>
    </w:p>
    <w:p w14:paraId="055E53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napToGrid w:val="0"/>
          <w:sz w:val="32"/>
          <w:szCs w:val="32"/>
          <w:lang w:val="en-US" w:eastAsia="zh-CN"/>
        </w:rPr>
      </w:pPr>
      <w:r>
        <w:rPr>
          <w:rFonts w:hint="eastAsia" w:ascii="方正楷体_GBK" w:hAnsi="方正楷体_GBK" w:eastAsia="方正楷体_GBK" w:cs="方正楷体_GBK"/>
          <w:b w:val="0"/>
          <w:bCs w:val="0"/>
          <w:snapToGrid w:val="0"/>
          <w:sz w:val="32"/>
          <w:szCs w:val="32"/>
          <w:lang w:val="en-US" w:eastAsia="zh-CN"/>
        </w:rPr>
        <w:t>（一）提升行政执法规范化水平。</w:t>
      </w:r>
      <w:r>
        <w:rPr>
          <w:rFonts w:hint="eastAsia" w:ascii="方正仿宋_GBK" w:hAnsi="方正仿宋_GBK" w:eastAsia="方正仿宋_GBK" w:cs="方正仿宋_GBK"/>
          <w:b w:val="0"/>
          <w:bCs w:val="0"/>
          <w:snapToGrid w:val="0"/>
          <w:sz w:val="32"/>
          <w:szCs w:val="32"/>
          <w:lang w:val="en-US" w:eastAsia="zh-CN"/>
        </w:rPr>
        <w:t>加强行政执法队伍建设，通过公开招聘、定向培养等方式充实基层执法力量，优化执法人员年龄结构和专业结构；定期组织执法人员参加业务培训和岗位练兵活动，重点加强对执法程序、法律适用、证据收集等方面的培训，提高执法人员的业务能力和综合素质，确保行政执法严格规范公正文明。</w:t>
      </w:r>
    </w:p>
    <w:p w14:paraId="78E894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napToGrid w:val="0"/>
          <w:sz w:val="32"/>
          <w:szCs w:val="32"/>
          <w:lang w:val="en-US" w:eastAsia="zh-CN"/>
        </w:rPr>
      </w:pPr>
      <w:r>
        <w:rPr>
          <w:rFonts w:hint="eastAsia" w:ascii="方正楷体_GBK" w:hAnsi="方正楷体_GBK" w:eastAsia="方正楷体_GBK" w:cs="方正楷体_GBK"/>
          <w:b w:val="0"/>
          <w:bCs w:val="0"/>
          <w:snapToGrid w:val="0"/>
          <w:sz w:val="32"/>
          <w:szCs w:val="32"/>
          <w:lang w:val="en-US" w:eastAsia="zh-CN"/>
        </w:rPr>
        <w:t>（二）推动法治建设与中心工作深度融合。</w:t>
      </w:r>
      <w:r>
        <w:rPr>
          <w:rFonts w:hint="eastAsia" w:ascii="方正仿宋_GBK" w:hAnsi="方正仿宋_GBK" w:eastAsia="方正仿宋_GBK" w:cs="方正仿宋_GBK"/>
          <w:b w:val="0"/>
          <w:bCs w:val="0"/>
          <w:snapToGrid w:val="0"/>
          <w:sz w:val="32"/>
          <w:szCs w:val="32"/>
          <w:lang w:val="en-US" w:eastAsia="zh-CN"/>
        </w:rPr>
        <w:t>在谋划和推进乡村产业发展、项目建设等中心工作时，充分发挥法律顾问的作用，提前进行合法性审查和法律风险评估，确保各项工作在法治轨道上运行；建立健全重大项目建设法治保障机制，加强对项目招投标、合同签订、施工建设等环节的法律监管，防范法律风险，保障项目顺利实施。加强基层社会治理的法治保障，完善多元化纠纷解决机制，充分发挥人民调解、行政调解、司法调解的作用，加强调解组织和调解队伍建设，推动调解工作与诉讼、形成共建共治共享的基层社会治理格局；加大对农村土地流转、环境保护等重点领域的执法监管力度，依法打击各类违法行为，维护社会公平正义和群众合法权益。</w:t>
      </w:r>
    </w:p>
    <w:p w14:paraId="10556B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napToGrid w:val="0"/>
          <w:sz w:val="32"/>
          <w:szCs w:val="32"/>
          <w:lang w:val="en-US" w:eastAsia="zh-CN"/>
        </w:rPr>
      </w:pPr>
      <w:r>
        <w:rPr>
          <w:rFonts w:hint="eastAsia" w:ascii="方正楷体_GBK" w:hAnsi="方正楷体_GBK" w:eastAsia="方正楷体_GBK" w:cs="方正楷体_GBK"/>
          <w:b w:val="0"/>
          <w:bCs w:val="0"/>
          <w:snapToGrid w:val="0"/>
          <w:sz w:val="32"/>
          <w:szCs w:val="32"/>
          <w:lang w:val="en-US" w:eastAsia="zh-CN"/>
        </w:rPr>
        <w:t>（三）增强法治宣传教育实效。</w:t>
      </w:r>
      <w:r>
        <w:rPr>
          <w:rFonts w:hint="eastAsia" w:ascii="方正仿宋_GBK" w:hAnsi="方正仿宋_GBK" w:eastAsia="方正仿宋_GBK" w:cs="方正仿宋_GBK"/>
          <w:b w:val="0"/>
          <w:bCs w:val="0"/>
          <w:snapToGrid w:val="0"/>
          <w:sz w:val="32"/>
          <w:szCs w:val="32"/>
          <w:lang w:val="en-US" w:eastAsia="zh-CN"/>
        </w:rPr>
        <w:t>创新法治宣传教育方式方法，结合农村实际和群众需求，采用群众喜闻乐见的形式开展法治宣传教育活动，如利用农村广播、微信公众号、短视频平台等新媒体平台推送法治资讯和案例；通过“法律进乡村、进学校、进家庭”等活动，将法治宣传教育延伸到农村的每一个角落，切实提高群众的法治意识和依法维权能力。</w:t>
      </w:r>
    </w:p>
    <w:p w14:paraId="3ABB390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878A4"/>
    <w:rsid w:val="256878A4"/>
    <w:rsid w:val="634C215A"/>
    <w:rsid w:val="7CAE2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2449</Words>
  <Characters>2476</Characters>
  <Lines>0</Lines>
  <Paragraphs>0</Paragraphs>
  <TotalTime>1278</TotalTime>
  <ScaleCrop>false</ScaleCrop>
  <LinksUpToDate>false</LinksUpToDate>
  <CharactersWithSpaces>2480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2025-01-26T11:07:00Z</dcterms:created>
  <dc:creator>Administrator</dc:creator>
  <cp:lastModifiedBy>猫九</cp:lastModifiedBy>
  <dcterms:modified xsi:type="dcterms:W3CDTF">2025-04-23T03:08:29Z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3302D5D24DB8482C90E3529F0359FB98_13</vt:lpwstr>
  </property>
  <property fmtid="{D5CDD505-2E9C-101B-9397-08002B2CF9AE}" pid="4" name="KSOTemplateDocerSaveRecord">
    <vt:lpwstr>eyJoZGlkIjoiNTgzZDA0YjRlZGIxYmNhM2E0YmMwNWIzNTEwZjdlNmMiLCJ1c2VySWQiOiI0NDUwMDk3MTUifQ==</vt:lpwstr>
  </property>
</Properties>
</file>