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60919">
      <w:pPr>
        <w:spacing w:line="360" w:lineRule="auto"/>
        <w:jc w:val="center"/>
        <w:rPr>
          <w:rFonts w:ascii="宋体" w:hAnsi="宋体" w:eastAsia="宋体" w:cs="宋体"/>
          <w:b/>
          <w:bCs/>
          <w:color w:val="auto"/>
          <w:kern w:val="2"/>
          <w:sz w:val="32"/>
          <w:szCs w:val="32"/>
        </w:rPr>
      </w:pPr>
      <w:r>
        <w:rPr>
          <w:rFonts w:hint="eastAsia" w:ascii="宋体" w:hAnsi="宋体" w:eastAsia="宋体" w:cs="宋体"/>
          <w:b/>
          <w:bCs/>
          <w:color w:val="auto"/>
          <w:kern w:val="2"/>
          <w:sz w:val="32"/>
          <w:szCs w:val="32"/>
        </w:rPr>
        <w:t>《</w:t>
      </w:r>
      <w:r>
        <w:rPr>
          <w:rFonts w:hint="eastAsia" w:ascii="宋体" w:hAnsi="宋体" w:eastAsia="宋体" w:cs="宋体"/>
          <w:b/>
          <w:bCs/>
          <w:kern w:val="2"/>
          <w:sz w:val="32"/>
          <w:szCs w:val="32"/>
        </w:rPr>
        <w:t>新疆云台建材有限公司新疆焉耆县建筑用砂</w:t>
      </w:r>
      <w:r>
        <w:rPr>
          <w:rFonts w:ascii="宋体" w:hAnsi="宋体" w:eastAsia="宋体" w:cs="宋体"/>
          <w:b/>
          <w:bCs/>
          <w:kern w:val="2"/>
          <w:sz w:val="32"/>
          <w:szCs w:val="32"/>
        </w:rPr>
        <w:t>12</w:t>
      </w:r>
      <w:r>
        <w:rPr>
          <w:rFonts w:hint="eastAsia" w:ascii="宋体" w:hAnsi="宋体" w:eastAsia="宋体" w:cs="宋体"/>
          <w:b/>
          <w:bCs/>
          <w:kern w:val="2"/>
          <w:sz w:val="32"/>
          <w:szCs w:val="32"/>
        </w:rPr>
        <w:t>号矿矿产资源开发利用与生态保护修复方案</w:t>
      </w:r>
      <w:r>
        <w:rPr>
          <w:rFonts w:hint="eastAsia" w:ascii="宋体" w:hAnsi="宋体" w:eastAsia="宋体" w:cs="宋体"/>
          <w:b/>
          <w:bCs/>
          <w:color w:val="auto"/>
          <w:kern w:val="2"/>
          <w:sz w:val="32"/>
          <w:szCs w:val="32"/>
        </w:rPr>
        <w:t>》专家审查意见</w:t>
      </w:r>
    </w:p>
    <w:p w14:paraId="510AD6A5">
      <w:pPr>
        <w:spacing w:line="360" w:lineRule="auto"/>
        <w:ind w:firstLine="560" w:firstLineChars="200"/>
        <w:jc w:val="both"/>
        <w:rPr>
          <w:rFonts w:hint="eastAsia" w:ascii="宋体" w:hAnsi="宋体" w:eastAsia="宋体" w:cs="宋体"/>
          <w:kern w:val="2"/>
          <w:sz w:val="28"/>
          <w:szCs w:val="28"/>
        </w:rPr>
      </w:pPr>
      <w:r>
        <w:rPr>
          <w:rFonts w:hint="eastAsia" w:ascii="宋体" w:hAnsi="宋体" w:eastAsia="宋体" w:cs="宋体"/>
          <w:color w:val="auto"/>
          <w:kern w:val="2"/>
          <w:sz w:val="28"/>
          <w:szCs w:val="28"/>
        </w:rPr>
        <w:t>2024年11月6日，焉耆县自然资源局依据《原国土资源部办公厅</w:t>
      </w:r>
      <w:r>
        <w:rPr>
          <w:rFonts w:hint="eastAsia" w:ascii="宋体" w:hAnsi="宋体" w:eastAsia="宋体" w:cs="宋体"/>
          <w:kern w:val="2"/>
          <w:sz w:val="28"/>
          <w:szCs w:val="28"/>
        </w:rPr>
        <w:t>关于加强对矿产资源开发利用方案审查的通知》(国土资发〔1999〕98 号)、《国土资源部办公厅关于做好矿山地质环境保护与土地复垦方案编报有关工作的通知》（国土资规〔2016〕21号）、《关于进一步推进和完善矿产资源管理有关工作的通知》（新自然资规〔2021〕3号文）等文件规定，邀请相关专业专家，组成专家评审组，对新疆云台建材有限公司提交，由巴州行琮环境治理有限公司编制的《新疆云台建材有限公司新疆焉耆县建筑用砂</w:t>
      </w:r>
      <w:r>
        <w:rPr>
          <w:rFonts w:ascii="宋体" w:hAnsi="宋体" w:eastAsia="宋体" w:cs="宋体"/>
          <w:kern w:val="2"/>
          <w:sz w:val="28"/>
          <w:szCs w:val="28"/>
        </w:rPr>
        <w:t>12</w:t>
      </w:r>
      <w:r>
        <w:rPr>
          <w:rFonts w:hint="eastAsia" w:ascii="宋体" w:hAnsi="宋体" w:eastAsia="宋体" w:cs="宋体"/>
          <w:kern w:val="2"/>
          <w:sz w:val="28"/>
          <w:szCs w:val="28"/>
        </w:rPr>
        <w:t>号矿矿产资源开发利用与生态保护修复方案》采取函审方式进行了认真全面的审查，形成以下评审意见：</w:t>
      </w:r>
    </w:p>
    <w:p w14:paraId="5F9FA845">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一、矿山简介</w:t>
      </w:r>
    </w:p>
    <w:p w14:paraId="05C06B48">
      <w:pPr>
        <w:spacing w:line="360"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新疆焉耆县建筑用砂12号矿行政区划属焉耆县管辖，矿区位于焉耆县城南西225°方位，直线距离约28千米处；矿区中心地理坐标（CGCS2000）：东经86°18′39.86″，北纬41°52′49.89″。</w:t>
      </w:r>
    </w:p>
    <w:p w14:paraId="5CFE1382">
      <w:pPr>
        <w:spacing w:line="360"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由焉耆县城出发沿314国道向南行约30千米至焉耆县河北巴州生态产业园，后向北西方向沿简易道路行约4千米至矿区，总里程约34千米，交通条件方便。</w:t>
      </w:r>
    </w:p>
    <w:p w14:paraId="49B7CFF9">
      <w:pPr>
        <w:spacing w:line="360"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矿区内无单位或个体办理采矿许可证，无采矿纠纷。不涉及生态保护红线、禁止功能区和自然资源保护区。</w:t>
      </w:r>
    </w:p>
    <w:p w14:paraId="24F95516">
      <w:pPr>
        <w:spacing w:line="360"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本次矿区范围由焉耆县自然资源局认定，由巴州行琮环境治理有限公司完成矿区地形测量。该矿区建筑用砂矿无采矿权争议区。拟设采矿权名称为新疆焉耆县建筑用砂12号矿。</w:t>
      </w:r>
    </w:p>
    <w:p w14:paraId="7759B20E">
      <w:pPr>
        <w:spacing w:line="360"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根据拟划定矿区范围，矿区呈四边形。拟批准的矿区范围面积0.3236平方千米。由4个拐点圈定。根据开发利用方案，矿山拟规划建设规模为</w:t>
      </w:r>
      <w:r>
        <w:rPr>
          <w:rFonts w:hint="eastAsia" w:ascii="宋体" w:hAnsi="宋体" w:eastAsia="宋体"/>
          <w:snapToGrid/>
          <w:kern w:val="2"/>
          <w:sz w:val="28"/>
          <w:szCs w:val="28"/>
        </w:rPr>
        <w:t>年开采原矿石量18万立方米（建筑用砂14.96万立方米</w:t>
      </w:r>
      <w:r>
        <w:rPr>
          <w:rFonts w:ascii="宋体" w:hAnsi="宋体" w:eastAsia="宋体"/>
          <w:snapToGrid/>
          <w:kern w:val="2"/>
          <w:sz w:val="28"/>
          <w:szCs w:val="28"/>
        </w:rPr>
        <w:t>/</w:t>
      </w:r>
      <w:r>
        <w:rPr>
          <w:rFonts w:hint="eastAsia" w:ascii="宋体" w:hAnsi="宋体" w:eastAsia="宋体"/>
          <w:snapToGrid/>
          <w:kern w:val="2"/>
          <w:sz w:val="28"/>
          <w:szCs w:val="28"/>
        </w:rPr>
        <w:t>年）</w:t>
      </w:r>
      <w:r>
        <w:rPr>
          <w:rFonts w:hint="eastAsia" w:ascii="宋体" w:hAnsi="宋体" w:eastAsia="宋体" w:cs="宋体"/>
          <w:kern w:val="2"/>
          <w:sz w:val="28"/>
          <w:szCs w:val="28"/>
        </w:rPr>
        <w:t>，拟设开采标高1149～1119米，拐点坐标见表1。</w:t>
      </w:r>
    </w:p>
    <w:p w14:paraId="7A21D974">
      <w:pPr>
        <w:spacing w:line="360" w:lineRule="auto"/>
        <w:jc w:val="center"/>
        <w:rPr>
          <w:rFonts w:ascii="宋体" w:hAnsi="宋体" w:eastAsia="宋体" w:cs="宋体"/>
          <w:sz w:val="24"/>
          <w:szCs w:val="24"/>
        </w:rPr>
      </w:pPr>
      <w:r>
        <w:rPr>
          <w:rFonts w:hint="eastAsia" w:ascii="宋体" w:hAnsi="宋体" w:eastAsia="宋体" w:cs="宋体"/>
          <w:sz w:val="24"/>
          <w:szCs w:val="24"/>
        </w:rPr>
        <w:t>表 1   矿区范围拐点坐标（</w:t>
      </w:r>
      <w:r>
        <w:rPr>
          <w:rFonts w:ascii="宋体" w:hAnsi="宋体"/>
          <w:sz w:val="24"/>
          <w:szCs w:val="24"/>
        </w:rPr>
        <w:t>CGCS2000坐标系</w:t>
      </w:r>
      <w:r>
        <w:rPr>
          <w:rFonts w:hint="eastAsia" w:ascii="宋体" w:hAnsi="宋体" w:eastAsia="宋体" w:cs="宋体"/>
          <w:sz w:val="24"/>
          <w:szCs w:val="24"/>
        </w:rPr>
        <w:t>，</w:t>
      </w:r>
      <w:r>
        <w:rPr>
          <w:rFonts w:ascii="宋体" w:hAnsi="宋体"/>
          <w:sz w:val="24"/>
          <w:szCs w:val="24"/>
        </w:rPr>
        <w:t>3°</w:t>
      </w:r>
      <w:r>
        <w:rPr>
          <w:rFonts w:hint="eastAsia" w:ascii="宋体" w:hAnsi="宋体" w:eastAsia="宋体" w:cs="宋体"/>
          <w:sz w:val="24"/>
          <w:szCs w:val="24"/>
        </w:rPr>
        <w:t>）</w:t>
      </w:r>
    </w:p>
    <w:tbl>
      <w:tblPr>
        <w:tblStyle w:val="5"/>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90"/>
        <w:gridCol w:w="1996"/>
        <w:gridCol w:w="1991"/>
        <w:gridCol w:w="1931"/>
        <w:gridCol w:w="1685"/>
      </w:tblGrid>
      <w:tr w14:paraId="44773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677" w:type="pct"/>
            <w:noWrap w:val="0"/>
            <w:vAlign w:val="center"/>
          </w:tcPr>
          <w:p w14:paraId="1889BFAE">
            <w:pPr>
              <w:jc w:val="center"/>
              <w:rPr>
                <w:rFonts w:hint="eastAsia" w:ascii="宋体" w:hAnsi="宋体" w:eastAsia="宋体"/>
                <w:bCs/>
                <w:sz w:val="24"/>
                <w:szCs w:val="24"/>
              </w:rPr>
            </w:pPr>
            <w:r>
              <w:rPr>
                <w:rFonts w:hint="eastAsia" w:ascii="宋体" w:hAnsi="宋体" w:eastAsia="宋体" w:cs="宋体"/>
                <w:bCs/>
                <w:sz w:val="24"/>
                <w:szCs w:val="24"/>
              </w:rPr>
              <w:t>拐点编号</w:t>
            </w:r>
          </w:p>
        </w:tc>
        <w:tc>
          <w:tcPr>
            <w:tcW w:w="1135" w:type="pct"/>
            <w:noWrap w:val="0"/>
            <w:vAlign w:val="center"/>
          </w:tcPr>
          <w:p w14:paraId="19F93707">
            <w:pPr>
              <w:jc w:val="center"/>
              <w:rPr>
                <w:rFonts w:hint="eastAsia" w:ascii="宋体" w:hAnsi="宋体" w:eastAsia="宋体"/>
                <w:bCs/>
                <w:sz w:val="24"/>
                <w:szCs w:val="24"/>
              </w:rPr>
            </w:pPr>
            <w:r>
              <w:rPr>
                <w:rFonts w:hint="eastAsia" w:ascii="宋体" w:hAnsi="宋体" w:eastAsia="宋体" w:cs="宋体"/>
                <w:bCs/>
                <w:sz w:val="24"/>
                <w:szCs w:val="24"/>
              </w:rPr>
              <w:t>东经</w:t>
            </w:r>
          </w:p>
        </w:tc>
        <w:tc>
          <w:tcPr>
            <w:tcW w:w="1132" w:type="pct"/>
            <w:noWrap w:val="0"/>
            <w:vAlign w:val="center"/>
          </w:tcPr>
          <w:p w14:paraId="546CC1E6">
            <w:pPr>
              <w:jc w:val="center"/>
              <w:rPr>
                <w:rFonts w:hint="eastAsia" w:ascii="宋体" w:hAnsi="宋体" w:eastAsia="宋体"/>
                <w:bCs/>
                <w:sz w:val="24"/>
                <w:szCs w:val="24"/>
              </w:rPr>
            </w:pPr>
            <w:r>
              <w:rPr>
                <w:rFonts w:hint="eastAsia" w:ascii="宋体" w:hAnsi="宋体" w:eastAsia="宋体" w:cs="宋体"/>
                <w:bCs/>
                <w:sz w:val="24"/>
                <w:szCs w:val="24"/>
              </w:rPr>
              <w:t>北纬</w:t>
            </w:r>
          </w:p>
        </w:tc>
        <w:tc>
          <w:tcPr>
            <w:tcW w:w="1098" w:type="pct"/>
            <w:noWrap w:val="0"/>
            <w:vAlign w:val="center"/>
          </w:tcPr>
          <w:p w14:paraId="5EBC8E26">
            <w:pPr>
              <w:jc w:val="center"/>
              <w:rPr>
                <w:rFonts w:hint="eastAsia" w:ascii="宋体" w:hAnsi="宋体" w:eastAsia="宋体"/>
                <w:bCs/>
                <w:sz w:val="24"/>
                <w:szCs w:val="24"/>
              </w:rPr>
            </w:pPr>
            <w:r>
              <w:rPr>
                <w:rFonts w:hint="eastAsia" w:ascii="宋体" w:hAnsi="宋体" w:eastAsia="宋体"/>
                <w:bCs/>
                <w:sz w:val="24"/>
                <w:szCs w:val="24"/>
              </w:rPr>
              <w:t>X</w:t>
            </w:r>
          </w:p>
        </w:tc>
        <w:tc>
          <w:tcPr>
            <w:tcW w:w="958" w:type="pct"/>
            <w:noWrap w:val="0"/>
            <w:vAlign w:val="center"/>
          </w:tcPr>
          <w:p w14:paraId="0512CE60">
            <w:pPr>
              <w:jc w:val="center"/>
              <w:rPr>
                <w:rFonts w:hint="eastAsia" w:ascii="宋体" w:hAnsi="宋体" w:eastAsia="宋体"/>
                <w:bCs/>
                <w:sz w:val="24"/>
                <w:szCs w:val="24"/>
              </w:rPr>
            </w:pPr>
            <w:r>
              <w:rPr>
                <w:rFonts w:hint="eastAsia" w:ascii="宋体" w:hAnsi="宋体" w:eastAsia="宋体"/>
                <w:bCs/>
                <w:sz w:val="24"/>
                <w:szCs w:val="24"/>
              </w:rPr>
              <w:t>Y</w:t>
            </w:r>
          </w:p>
        </w:tc>
      </w:tr>
      <w:tr w14:paraId="228F6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677" w:type="pct"/>
            <w:noWrap w:val="0"/>
            <w:vAlign w:val="center"/>
          </w:tcPr>
          <w:p w14:paraId="0EE3181E">
            <w:pPr>
              <w:jc w:val="center"/>
              <w:rPr>
                <w:rFonts w:hint="eastAsia" w:ascii="宋体" w:hAnsi="宋体" w:eastAsia="宋体"/>
                <w:bCs/>
                <w:sz w:val="24"/>
                <w:szCs w:val="24"/>
              </w:rPr>
            </w:pPr>
            <w:r>
              <w:rPr>
                <w:rFonts w:hint="eastAsia" w:ascii="宋体" w:hAnsi="宋体" w:eastAsia="宋体"/>
                <w:bCs/>
                <w:sz w:val="24"/>
                <w:szCs w:val="24"/>
              </w:rPr>
              <w:t>1</w:t>
            </w:r>
          </w:p>
        </w:tc>
        <w:tc>
          <w:tcPr>
            <w:tcW w:w="1135" w:type="pct"/>
            <w:noWrap w:val="0"/>
            <w:vAlign w:val="center"/>
          </w:tcPr>
          <w:p w14:paraId="69BA5B62">
            <w:pPr>
              <w:jc w:val="center"/>
              <w:rPr>
                <w:rFonts w:hint="eastAsia" w:ascii="宋体" w:hAnsi="宋体" w:eastAsia="宋体"/>
                <w:bCs/>
                <w:sz w:val="24"/>
                <w:szCs w:val="24"/>
              </w:rPr>
            </w:pPr>
            <w:r>
              <w:rPr>
                <w:rFonts w:hint="eastAsia" w:ascii="宋体" w:hAnsi="宋体" w:eastAsia="宋体"/>
                <w:bCs/>
                <w:sz w:val="24"/>
                <w:szCs w:val="24"/>
              </w:rPr>
              <w:t xml:space="preserve">86°18′27.23″ </w:t>
            </w:r>
          </w:p>
        </w:tc>
        <w:tc>
          <w:tcPr>
            <w:tcW w:w="1132" w:type="pct"/>
            <w:noWrap w:val="0"/>
            <w:vAlign w:val="center"/>
          </w:tcPr>
          <w:p w14:paraId="2B2FF4BB">
            <w:pPr>
              <w:jc w:val="center"/>
              <w:rPr>
                <w:rFonts w:hint="eastAsia" w:ascii="宋体" w:hAnsi="宋体" w:eastAsia="宋体"/>
                <w:bCs/>
                <w:sz w:val="24"/>
                <w:szCs w:val="24"/>
              </w:rPr>
            </w:pPr>
            <w:r>
              <w:rPr>
                <w:rFonts w:hint="eastAsia" w:ascii="宋体" w:hAnsi="宋体" w:eastAsia="宋体"/>
                <w:bCs/>
                <w:sz w:val="24"/>
                <w:szCs w:val="24"/>
              </w:rPr>
              <w:t xml:space="preserve">41°52′59.19″ </w:t>
            </w:r>
          </w:p>
        </w:tc>
        <w:tc>
          <w:tcPr>
            <w:tcW w:w="1098" w:type="pct"/>
            <w:noWrap w:val="0"/>
            <w:vAlign w:val="bottom"/>
          </w:tcPr>
          <w:p w14:paraId="4979A9F4">
            <w:pPr>
              <w:jc w:val="center"/>
              <w:rPr>
                <w:rFonts w:hint="eastAsia" w:ascii="宋体" w:hAnsi="宋体" w:eastAsia="宋体"/>
                <w:bCs/>
                <w:sz w:val="24"/>
                <w:szCs w:val="24"/>
              </w:rPr>
            </w:pPr>
            <w:r>
              <w:rPr>
                <w:rFonts w:hint="eastAsia" w:ascii="宋体" w:hAnsi="宋体" w:eastAsia="宋体"/>
                <w:bCs/>
                <w:sz w:val="24"/>
                <w:szCs w:val="24"/>
              </w:rPr>
              <w:t xml:space="preserve">4638885.46 </w:t>
            </w:r>
          </w:p>
        </w:tc>
        <w:tc>
          <w:tcPr>
            <w:tcW w:w="958" w:type="pct"/>
            <w:noWrap w:val="0"/>
            <w:vAlign w:val="bottom"/>
          </w:tcPr>
          <w:p w14:paraId="58B7552A">
            <w:pPr>
              <w:jc w:val="center"/>
              <w:rPr>
                <w:rFonts w:hint="eastAsia" w:ascii="宋体" w:hAnsi="宋体" w:eastAsia="宋体"/>
                <w:bCs/>
                <w:sz w:val="24"/>
                <w:szCs w:val="24"/>
              </w:rPr>
            </w:pPr>
            <w:r>
              <w:rPr>
                <w:rFonts w:hint="eastAsia" w:ascii="宋体" w:hAnsi="宋体" w:eastAsia="宋体"/>
                <w:bCs/>
                <w:sz w:val="24"/>
                <w:szCs w:val="24"/>
              </w:rPr>
              <w:t xml:space="preserve">29442526.11 </w:t>
            </w:r>
          </w:p>
        </w:tc>
      </w:tr>
      <w:tr w14:paraId="772A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677" w:type="pct"/>
            <w:noWrap w:val="0"/>
            <w:vAlign w:val="center"/>
          </w:tcPr>
          <w:p w14:paraId="464DB82B">
            <w:pPr>
              <w:jc w:val="center"/>
              <w:rPr>
                <w:rFonts w:hint="eastAsia" w:ascii="宋体" w:hAnsi="宋体" w:eastAsia="宋体"/>
                <w:bCs/>
                <w:sz w:val="24"/>
                <w:szCs w:val="24"/>
              </w:rPr>
            </w:pPr>
            <w:r>
              <w:rPr>
                <w:rFonts w:hint="eastAsia" w:ascii="宋体" w:hAnsi="宋体" w:eastAsia="宋体"/>
                <w:bCs/>
                <w:sz w:val="24"/>
                <w:szCs w:val="24"/>
              </w:rPr>
              <w:t>2</w:t>
            </w:r>
          </w:p>
        </w:tc>
        <w:tc>
          <w:tcPr>
            <w:tcW w:w="1135" w:type="pct"/>
            <w:noWrap w:val="0"/>
            <w:vAlign w:val="center"/>
          </w:tcPr>
          <w:p w14:paraId="67250AC2">
            <w:pPr>
              <w:jc w:val="center"/>
              <w:rPr>
                <w:rFonts w:hint="eastAsia" w:ascii="宋体" w:hAnsi="宋体" w:eastAsia="宋体"/>
                <w:bCs/>
                <w:sz w:val="24"/>
                <w:szCs w:val="24"/>
              </w:rPr>
            </w:pPr>
            <w:r>
              <w:rPr>
                <w:rFonts w:hint="eastAsia" w:ascii="宋体" w:hAnsi="宋体" w:eastAsia="宋体"/>
                <w:bCs/>
                <w:sz w:val="24"/>
                <w:szCs w:val="24"/>
              </w:rPr>
              <w:t xml:space="preserve">86°18′51.95″ </w:t>
            </w:r>
          </w:p>
        </w:tc>
        <w:tc>
          <w:tcPr>
            <w:tcW w:w="1132" w:type="pct"/>
            <w:noWrap w:val="0"/>
            <w:vAlign w:val="center"/>
          </w:tcPr>
          <w:p w14:paraId="37B8FD5F">
            <w:pPr>
              <w:jc w:val="center"/>
              <w:rPr>
                <w:rFonts w:hint="eastAsia" w:ascii="宋体" w:hAnsi="宋体" w:eastAsia="宋体"/>
                <w:bCs/>
                <w:sz w:val="24"/>
                <w:szCs w:val="24"/>
              </w:rPr>
            </w:pPr>
            <w:r>
              <w:rPr>
                <w:rFonts w:hint="eastAsia" w:ascii="宋体" w:hAnsi="宋体" w:eastAsia="宋体"/>
                <w:bCs/>
                <w:sz w:val="24"/>
                <w:szCs w:val="24"/>
              </w:rPr>
              <w:t xml:space="preserve">41°52′59.19″ </w:t>
            </w:r>
          </w:p>
        </w:tc>
        <w:tc>
          <w:tcPr>
            <w:tcW w:w="1098" w:type="pct"/>
            <w:noWrap w:val="0"/>
            <w:vAlign w:val="bottom"/>
          </w:tcPr>
          <w:p w14:paraId="26479CE2">
            <w:pPr>
              <w:jc w:val="center"/>
              <w:rPr>
                <w:rFonts w:hint="eastAsia" w:ascii="宋体" w:hAnsi="宋体" w:eastAsia="宋体"/>
                <w:bCs/>
                <w:sz w:val="24"/>
                <w:szCs w:val="24"/>
              </w:rPr>
            </w:pPr>
            <w:r>
              <w:rPr>
                <w:rFonts w:hint="eastAsia" w:ascii="宋体" w:hAnsi="宋体" w:eastAsia="宋体"/>
                <w:bCs/>
                <w:sz w:val="24"/>
                <w:szCs w:val="24"/>
              </w:rPr>
              <w:t xml:space="preserve">4638880.88 </w:t>
            </w:r>
          </w:p>
        </w:tc>
        <w:tc>
          <w:tcPr>
            <w:tcW w:w="958" w:type="pct"/>
            <w:noWrap w:val="0"/>
            <w:vAlign w:val="bottom"/>
          </w:tcPr>
          <w:p w14:paraId="19BD1FF7">
            <w:pPr>
              <w:jc w:val="center"/>
              <w:rPr>
                <w:rFonts w:hint="eastAsia" w:ascii="宋体" w:hAnsi="宋体" w:eastAsia="宋体"/>
                <w:bCs/>
                <w:sz w:val="24"/>
                <w:szCs w:val="24"/>
              </w:rPr>
            </w:pPr>
            <w:r>
              <w:rPr>
                <w:rFonts w:hint="eastAsia" w:ascii="宋体" w:hAnsi="宋体" w:eastAsia="宋体"/>
                <w:bCs/>
                <w:sz w:val="24"/>
                <w:szCs w:val="24"/>
              </w:rPr>
              <w:t xml:space="preserve">29443096.04 </w:t>
            </w:r>
          </w:p>
        </w:tc>
      </w:tr>
      <w:tr w14:paraId="037ED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677" w:type="pct"/>
            <w:noWrap w:val="0"/>
            <w:vAlign w:val="center"/>
          </w:tcPr>
          <w:p w14:paraId="1EE8E9F6">
            <w:pPr>
              <w:jc w:val="center"/>
              <w:rPr>
                <w:rFonts w:hint="eastAsia" w:ascii="宋体" w:hAnsi="宋体" w:eastAsia="宋体"/>
                <w:bCs/>
                <w:sz w:val="24"/>
                <w:szCs w:val="24"/>
              </w:rPr>
            </w:pPr>
            <w:r>
              <w:rPr>
                <w:rFonts w:hint="eastAsia" w:ascii="宋体" w:hAnsi="宋体" w:eastAsia="宋体"/>
                <w:bCs/>
                <w:sz w:val="24"/>
                <w:szCs w:val="24"/>
              </w:rPr>
              <w:t>3</w:t>
            </w:r>
          </w:p>
        </w:tc>
        <w:tc>
          <w:tcPr>
            <w:tcW w:w="1135" w:type="pct"/>
            <w:noWrap w:val="0"/>
            <w:vAlign w:val="center"/>
          </w:tcPr>
          <w:p w14:paraId="3309B133">
            <w:pPr>
              <w:jc w:val="center"/>
              <w:rPr>
                <w:rFonts w:hint="eastAsia" w:ascii="宋体" w:hAnsi="宋体" w:eastAsia="宋体"/>
                <w:bCs/>
                <w:sz w:val="24"/>
                <w:szCs w:val="24"/>
              </w:rPr>
            </w:pPr>
            <w:r>
              <w:rPr>
                <w:rFonts w:hint="eastAsia" w:ascii="宋体" w:hAnsi="宋体" w:eastAsia="宋体"/>
                <w:bCs/>
                <w:sz w:val="24"/>
                <w:szCs w:val="24"/>
              </w:rPr>
              <w:t xml:space="preserve">86°18′51.95″ </w:t>
            </w:r>
          </w:p>
        </w:tc>
        <w:tc>
          <w:tcPr>
            <w:tcW w:w="1132" w:type="pct"/>
            <w:noWrap w:val="0"/>
            <w:vAlign w:val="center"/>
          </w:tcPr>
          <w:p w14:paraId="67765972">
            <w:pPr>
              <w:jc w:val="center"/>
              <w:rPr>
                <w:rFonts w:hint="eastAsia" w:ascii="宋体" w:hAnsi="宋体" w:eastAsia="宋体"/>
                <w:bCs/>
                <w:sz w:val="24"/>
                <w:szCs w:val="24"/>
              </w:rPr>
            </w:pPr>
            <w:r>
              <w:rPr>
                <w:rFonts w:hint="eastAsia" w:ascii="宋体" w:hAnsi="宋体" w:eastAsia="宋体"/>
                <w:bCs/>
                <w:sz w:val="24"/>
                <w:szCs w:val="24"/>
              </w:rPr>
              <w:t xml:space="preserve">41°52′40.79″ </w:t>
            </w:r>
          </w:p>
        </w:tc>
        <w:tc>
          <w:tcPr>
            <w:tcW w:w="1098" w:type="pct"/>
            <w:noWrap w:val="0"/>
            <w:vAlign w:val="bottom"/>
          </w:tcPr>
          <w:p w14:paraId="7406CA81">
            <w:pPr>
              <w:jc w:val="center"/>
              <w:rPr>
                <w:rFonts w:hint="eastAsia" w:ascii="宋体" w:hAnsi="宋体" w:eastAsia="宋体"/>
                <w:bCs/>
                <w:sz w:val="24"/>
                <w:szCs w:val="24"/>
              </w:rPr>
            </w:pPr>
            <w:r>
              <w:rPr>
                <w:rFonts w:hint="eastAsia" w:ascii="宋体" w:hAnsi="宋体" w:eastAsia="宋体"/>
                <w:bCs/>
                <w:sz w:val="24"/>
                <w:szCs w:val="24"/>
              </w:rPr>
              <w:t xml:space="preserve">4638313.04 </w:t>
            </w:r>
          </w:p>
        </w:tc>
        <w:tc>
          <w:tcPr>
            <w:tcW w:w="958" w:type="pct"/>
            <w:noWrap w:val="0"/>
            <w:vAlign w:val="bottom"/>
          </w:tcPr>
          <w:p w14:paraId="4BC68FAD">
            <w:pPr>
              <w:jc w:val="center"/>
              <w:rPr>
                <w:rFonts w:hint="eastAsia" w:ascii="宋体" w:hAnsi="宋体" w:eastAsia="宋体"/>
                <w:bCs/>
                <w:sz w:val="24"/>
                <w:szCs w:val="24"/>
              </w:rPr>
            </w:pPr>
            <w:r>
              <w:rPr>
                <w:rFonts w:hint="eastAsia" w:ascii="宋体" w:hAnsi="宋体" w:eastAsia="宋体"/>
                <w:bCs/>
                <w:sz w:val="24"/>
                <w:szCs w:val="24"/>
              </w:rPr>
              <w:t xml:space="preserve">29443091.50 </w:t>
            </w:r>
          </w:p>
        </w:tc>
      </w:tr>
      <w:tr w14:paraId="190E6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677" w:type="pct"/>
            <w:noWrap w:val="0"/>
            <w:vAlign w:val="center"/>
          </w:tcPr>
          <w:p w14:paraId="585B22A8">
            <w:pPr>
              <w:jc w:val="center"/>
              <w:rPr>
                <w:rFonts w:hint="eastAsia" w:ascii="宋体" w:hAnsi="宋体" w:eastAsia="宋体"/>
                <w:bCs/>
                <w:sz w:val="24"/>
                <w:szCs w:val="24"/>
              </w:rPr>
            </w:pPr>
            <w:r>
              <w:rPr>
                <w:rFonts w:hint="eastAsia" w:ascii="宋体" w:hAnsi="宋体" w:eastAsia="宋体"/>
                <w:bCs/>
                <w:sz w:val="24"/>
                <w:szCs w:val="24"/>
              </w:rPr>
              <w:t>4</w:t>
            </w:r>
          </w:p>
        </w:tc>
        <w:tc>
          <w:tcPr>
            <w:tcW w:w="1135" w:type="pct"/>
            <w:noWrap w:val="0"/>
            <w:vAlign w:val="center"/>
          </w:tcPr>
          <w:p w14:paraId="4DE3A7F3">
            <w:pPr>
              <w:jc w:val="center"/>
              <w:rPr>
                <w:rFonts w:hint="eastAsia" w:ascii="宋体" w:hAnsi="宋体" w:eastAsia="宋体"/>
                <w:bCs/>
                <w:sz w:val="24"/>
                <w:szCs w:val="24"/>
              </w:rPr>
            </w:pPr>
            <w:r>
              <w:rPr>
                <w:rFonts w:hint="eastAsia" w:ascii="宋体" w:hAnsi="宋体" w:eastAsia="宋体"/>
                <w:bCs/>
                <w:sz w:val="24"/>
                <w:szCs w:val="24"/>
              </w:rPr>
              <w:t xml:space="preserve">86°18′27.23″ </w:t>
            </w:r>
          </w:p>
        </w:tc>
        <w:tc>
          <w:tcPr>
            <w:tcW w:w="1132" w:type="pct"/>
            <w:noWrap w:val="0"/>
            <w:vAlign w:val="center"/>
          </w:tcPr>
          <w:p w14:paraId="65F17173">
            <w:pPr>
              <w:jc w:val="center"/>
              <w:rPr>
                <w:rFonts w:hint="eastAsia" w:ascii="宋体" w:hAnsi="宋体" w:eastAsia="宋体"/>
                <w:bCs/>
                <w:sz w:val="24"/>
                <w:szCs w:val="24"/>
              </w:rPr>
            </w:pPr>
            <w:r>
              <w:rPr>
                <w:rFonts w:hint="eastAsia" w:ascii="宋体" w:hAnsi="宋体" w:eastAsia="宋体"/>
                <w:bCs/>
                <w:sz w:val="24"/>
                <w:szCs w:val="24"/>
              </w:rPr>
              <w:t xml:space="preserve">41°52′40.79″ </w:t>
            </w:r>
          </w:p>
        </w:tc>
        <w:tc>
          <w:tcPr>
            <w:tcW w:w="1098" w:type="pct"/>
            <w:noWrap w:val="0"/>
            <w:vAlign w:val="bottom"/>
          </w:tcPr>
          <w:p w14:paraId="63455BF7">
            <w:pPr>
              <w:jc w:val="center"/>
              <w:rPr>
                <w:rFonts w:hint="eastAsia" w:ascii="宋体" w:hAnsi="宋体" w:eastAsia="宋体"/>
                <w:bCs/>
                <w:sz w:val="24"/>
                <w:szCs w:val="24"/>
              </w:rPr>
            </w:pPr>
            <w:r>
              <w:rPr>
                <w:rFonts w:hint="eastAsia" w:ascii="宋体" w:hAnsi="宋体" w:eastAsia="宋体"/>
                <w:bCs/>
                <w:sz w:val="24"/>
                <w:szCs w:val="24"/>
              </w:rPr>
              <w:t xml:space="preserve">4638317.62 </w:t>
            </w:r>
          </w:p>
        </w:tc>
        <w:tc>
          <w:tcPr>
            <w:tcW w:w="958" w:type="pct"/>
            <w:noWrap w:val="0"/>
            <w:vAlign w:val="bottom"/>
          </w:tcPr>
          <w:p w14:paraId="3B9CC4F1">
            <w:pPr>
              <w:jc w:val="center"/>
              <w:rPr>
                <w:rFonts w:hint="eastAsia" w:ascii="宋体" w:hAnsi="宋体" w:eastAsia="宋体"/>
                <w:bCs/>
                <w:sz w:val="24"/>
                <w:szCs w:val="24"/>
              </w:rPr>
            </w:pPr>
            <w:r>
              <w:rPr>
                <w:rFonts w:hint="eastAsia" w:ascii="宋体" w:hAnsi="宋体" w:eastAsia="宋体"/>
                <w:bCs/>
                <w:sz w:val="24"/>
                <w:szCs w:val="24"/>
              </w:rPr>
              <w:t xml:space="preserve">29442521.52 </w:t>
            </w:r>
          </w:p>
        </w:tc>
      </w:tr>
    </w:tbl>
    <w:p w14:paraId="170B52E1">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二、野外地质调查完成主要工作量</w:t>
      </w:r>
    </w:p>
    <w:p w14:paraId="619FBB31">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野外实地调查面积0.4784平方千米；本次调查路线</w:t>
      </w:r>
      <w:r>
        <w:rPr>
          <w:rFonts w:ascii="宋体" w:hAnsi="宋体" w:eastAsia="宋体"/>
          <w:snapToGrid/>
          <w:kern w:val="2"/>
          <w:sz w:val="28"/>
          <w:szCs w:val="28"/>
        </w:rPr>
        <w:t>1</w:t>
      </w:r>
      <w:r>
        <w:rPr>
          <w:rFonts w:hint="eastAsia" w:ascii="宋体" w:hAnsi="宋体" w:eastAsia="宋体"/>
          <w:snapToGrid/>
          <w:kern w:val="2"/>
          <w:sz w:val="28"/>
          <w:szCs w:val="28"/>
        </w:rPr>
        <w:t>条，共计1.8千米；调查点6个；问卷调查</w:t>
      </w:r>
      <w:r>
        <w:rPr>
          <w:rFonts w:ascii="宋体" w:hAnsi="宋体" w:eastAsia="宋体"/>
          <w:snapToGrid/>
          <w:kern w:val="2"/>
          <w:sz w:val="28"/>
          <w:szCs w:val="28"/>
        </w:rPr>
        <w:t>10</w:t>
      </w:r>
      <w:r>
        <w:rPr>
          <w:rFonts w:hint="eastAsia" w:ascii="宋体" w:hAnsi="宋体" w:eastAsia="宋体"/>
          <w:snapToGrid/>
          <w:kern w:val="2"/>
          <w:sz w:val="28"/>
          <w:szCs w:val="28"/>
        </w:rPr>
        <w:t>张；野外调查工作按国家现行有关技术规范进行，工作精度符合现行技术规范要求，达到了预期工作目的。</w:t>
      </w:r>
    </w:p>
    <w:p w14:paraId="4CBBE032">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三、开发利用方案</w:t>
      </w:r>
    </w:p>
    <w:p w14:paraId="2E9905AA">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（1）《方案》简介</w:t>
      </w:r>
    </w:p>
    <w:p w14:paraId="125074C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1、设计利用资源量</w:t>
      </w:r>
    </w:p>
    <w:p w14:paraId="564CE348">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根据</w:t>
      </w:r>
      <w:r>
        <w:rPr>
          <w:rFonts w:ascii="宋体" w:hAnsi="宋体" w:eastAsia="宋体"/>
          <w:snapToGrid/>
          <w:kern w:val="2"/>
          <w:sz w:val="28"/>
          <w:szCs w:val="28"/>
        </w:rPr>
        <w:t>202</w:t>
      </w:r>
      <w:r>
        <w:rPr>
          <w:rFonts w:hint="eastAsia" w:ascii="宋体" w:hAnsi="宋体" w:eastAsia="宋体"/>
          <w:snapToGrid/>
          <w:kern w:val="2"/>
          <w:sz w:val="28"/>
          <w:szCs w:val="28"/>
        </w:rPr>
        <w:t>4年8月巴州行琮环境治理有限公司提交的《新疆焉耆县建筑用砂12号矿普查报告》以及《矿产资源储量评审意见书》（焉自然资储评[2024]01号），截止</w:t>
      </w:r>
      <w:r>
        <w:rPr>
          <w:rFonts w:ascii="宋体" w:hAnsi="宋体" w:eastAsia="宋体"/>
          <w:snapToGrid/>
          <w:kern w:val="2"/>
          <w:sz w:val="28"/>
          <w:szCs w:val="28"/>
        </w:rPr>
        <w:t>202</w:t>
      </w:r>
      <w:r>
        <w:rPr>
          <w:rFonts w:hint="eastAsia" w:ascii="宋体" w:hAnsi="宋体" w:eastAsia="宋体"/>
          <w:snapToGrid/>
          <w:kern w:val="2"/>
          <w:sz w:val="28"/>
          <w:szCs w:val="28"/>
        </w:rPr>
        <w:t>4年7月1日，查明推断的资源量（</w:t>
      </w:r>
      <w:r>
        <w:rPr>
          <w:rFonts w:ascii="宋体" w:hAnsi="宋体" w:eastAsia="宋体"/>
          <w:snapToGrid/>
          <w:kern w:val="2"/>
          <w:sz w:val="28"/>
          <w:szCs w:val="28"/>
        </w:rPr>
        <w:t>TD</w:t>
      </w:r>
      <w:r>
        <w:rPr>
          <w:rFonts w:hint="eastAsia" w:ascii="宋体" w:hAnsi="宋体" w:eastAsia="宋体"/>
          <w:snapToGrid/>
          <w:kern w:val="2"/>
          <w:sz w:val="28"/>
          <w:szCs w:val="28"/>
        </w:rPr>
        <w:t>）原矿矿石量</w:t>
      </w:r>
      <w:bookmarkStart w:id="0" w:name="_Hlk112879715"/>
      <w:r>
        <w:rPr>
          <w:rFonts w:hint="eastAsia" w:ascii="宋体" w:hAnsi="宋体" w:eastAsia="宋体"/>
          <w:snapToGrid/>
          <w:kern w:val="2"/>
          <w:sz w:val="28"/>
          <w:szCs w:val="28"/>
        </w:rPr>
        <w:t>97.08万立方米</w:t>
      </w:r>
      <w:bookmarkEnd w:id="0"/>
      <w:r>
        <w:rPr>
          <w:rFonts w:hint="eastAsia" w:ascii="宋体" w:hAnsi="宋体" w:eastAsia="宋体"/>
          <w:snapToGrid/>
          <w:kern w:val="2"/>
          <w:sz w:val="28"/>
          <w:szCs w:val="28"/>
        </w:rPr>
        <w:t>，按可利用率83.1</w:t>
      </w:r>
      <w:r>
        <w:rPr>
          <w:rFonts w:ascii="宋体" w:hAnsi="宋体" w:eastAsia="宋体"/>
          <w:snapToGrid/>
          <w:kern w:val="2"/>
          <w:sz w:val="28"/>
          <w:szCs w:val="28"/>
        </w:rPr>
        <w:t>%</w:t>
      </w:r>
      <w:r>
        <w:rPr>
          <w:rFonts w:hint="eastAsia" w:ascii="宋体" w:hAnsi="宋体" w:eastAsia="宋体"/>
          <w:snapToGrid/>
          <w:kern w:val="2"/>
          <w:sz w:val="28"/>
          <w:szCs w:val="28"/>
        </w:rPr>
        <w:t>估算可利用资源量（</w:t>
      </w:r>
      <w:r>
        <w:rPr>
          <w:rFonts w:ascii="宋体" w:hAnsi="宋体" w:eastAsia="宋体"/>
          <w:snapToGrid/>
          <w:kern w:val="2"/>
          <w:sz w:val="28"/>
          <w:szCs w:val="28"/>
        </w:rPr>
        <w:t>TD</w:t>
      </w:r>
      <w:r>
        <w:rPr>
          <w:rFonts w:hint="eastAsia" w:ascii="宋体" w:hAnsi="宋体" w:eastAsia="宋体"/>
          <w:snapToGrid/>
          <w:kern w:val="2"/>
          <w:sz w:val="28"/>
          <w:szCs w:val="28"/>
        </w:rPr>
        <w:t>）为80.67万立方米。</w:t>
      </w:r>
    </w:p>
    <w:p w14:paraId="5C255917">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本次设计利用</w:t>
      </w:r>
      <w:bookmarkStart w:id="1" w:name="_Hlk181722530"/>
      <w:r>
        <w:rPr>
          <w:rFonts w:hint="eastAsia" w:ascii="宋体" w:hAnsi="宋体" w:eastAsia="宋体"/>
          <w:snapToGrid/>
          <w:kern w:val="2"/>
          <w:sz w:val="28"/>
          <w:szCs w:val="28"/>
        </w:rPr>
        <w:t>建筑用砂</w:t>
      </w:r>
      <w:bookmarkEnd w:id="1"/>
      <w:bookmarkStart w:id="2" w:name="_Hlk181722549"/>
      <w:r>
        <w:rPr>
          <w:rFonts w:hint="eastAsia" w:ascii="宋体" w:hAnsi="宋体" w:eastAsia="宋体"/>
          <w:snapToGrid/>
          <w:kern w:val="2"/>
          <w:sz w:val="28"/>
          <w:szCs w:val="28"/>
        </w:rPr>
        <w:t>资源量为97.08万立方米</w:t>
      </w:r>
      <w:bookmarkEnd w:id="2"/>
      <w:r>
        <w:rPr>
          <w:rFonts w:hint="eastAsia" w:ascii="宋体" w:hAnsi="宋体" w:eastAsia="宋体"/>
          <w:snapToGrid/>
          <w:kern w:val="2"/>
          <w:sz w:val="28"/>
          <w:szCs w:val="28"/>
        </w:rPr>
        <w:t>，</w:t>
      </w:r>
      <w:bookmarkStart w:id="3" w:name="_Hlk181722570"/>
      <w:r>
        <w:rPr>
          <w:rFonts w:hint="eastAsia" w:ascii="宋体" w:hAnsi="宋体" w:eastAsia="宋体"/>
          <w:snapToGrid/>
          <w:kern w:val="2"/>
          <w:sz w:val="28"/>
          <w:szCs w:val="28"/>
        </w:rPr>
        <w:t>可采资源量为80.67万立方米</w:t>
      </w:r>
      <w:bookmarkEnd w:id="3"/>
      <w:r>
        <w:rPr>
          <w:rFonts w:hint="eastAsia" w:ascii="宋体" w:hAnsi="宋体" w:eastAsia="宋体"/>
          <w:snapToGrid/>
          <w:kern w:val="2"/>
          <w:sz w:val="28"/>
          <w:szCs w:val="28"/>
        </w:rPr>
        <w:t>。</w:t>
      </w:r>
    </w:p>
    <w:p w14:paraId="07489BD2">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2、矿体特征</w:t>
      </w:r>
    </w:p>
    <w:p w14:paraId="25065232">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矿体赋存于第四系上更新统-全新统的冲洪积含泥质砂砾石堆积物（Qh</w:t>
      </w:r>
      <w:r>
        <w:rPr>
          <w:rFonts w:hint="eastAsia" w:ascii="宋体" w:hAnsi="宋体" w:eastAsia="宋体"/>
          <w:snapToGrid/>
          <w:kern w:val="2"/>
          <w:sz w:val="28"/>
          <w:szCs w:val="28"/>
          <w:vertAlign w:val="superscript"/>
        </w:rPr>
        <w:t>pl+al</w:t>
      </w:r>
      <w:r>
        <w:rPr>
          <w:rFonts w:hint="eastAsia" w:ascii="宋体" w:hAnsi="宋体" w:eastAsia="宋体"/>
          <w:snapToGrid/>
          <w:kern w:val="2"/>
          <w:sz w:val="28"/>
          <w:szCs w:val="28"/>
        </w:rPr>
        <w:t>）中，区内建筑用砂砾石矿矿层产状近水平，广泛分布于山麓前缘，矿区内地表高程范围为</w:t>
      </w:r>
      <w:r>
        <w:rPr>
          <w:rFonts w:ascii="宋体" w:hAnsi="宋体" w:eastAsia="宋体"/>
          <w:snapToGrid/>
          <w:kern w:val="2"/>
          <w:sz w:val="28"/>
          <w:szCs w:val="28"/>
        </w:rPr>
        <w:t>112</w:t>
      </w:r>
      <w:r>
        <w:rPr>
          <w:rFonts w:hint="eastAsia" w:ascii="宋体" w:hAnsi="宋体" w:eastAsia="宋体"/>
          <w:snapToGrid/>
          <w:kern w:val="2"/>
          <w:sz w:val="28"/>
          <w:szCs w:val="28"/>
        </w:rPr>
        <w:t>4-</w:t>
      </w:r>
      <w:r>
        <w:rPr>
          <w:rFonts w:ascii="宋体" w:hAnsi="宋体" w:eastAsia="宋体"/>
          <w:snapToGrid/>
          <w:kern w:val="2"/>
          <w:sz w:val="28"/>
          <w:szCs w:val="28"/>
        </w:rPr>
        <w:t>114</w:t>
      </w:r>
      <w:r>
        <w:rPr>
          <w:rFonts w:hint="eastAsia" w:ascii="宋体" w:hAnsi="宋体" w:eastAsia="宋体"/>
          <w:snapToGrid/>
          <w:kern w:val="2"/>
          <w:sz w:val="28"/>
          <w:szCs w:val="28"/>
        </w:rPr>
        <w:t>9米，经地表调查及浅井（深约5米）揭露情况，浅井揭露地表存在约2.00米覆盖层，覆盖层主要为植被根茎、黄土等，泥质含量较高，砂砾石少见。施工浅井控制矿层厚度约3.00米，本次对矿区范围（面积为</w:t>
      </w:r>
      <w:r>
        <w:rPr>
          <w:rFonts w:ascii="宋体" w:hAnsi="宋体" w:eastAsia="宋体"/>
          <w:snapToGrid/>
          <w:kern w:val="2"/>
          <w:sz w:val="28"/>
          <w:szCs w:val="28"/>
        </w:rPr>
        <w:t>0.3236</w:t>
      </w:r>
      <w:r>
        <w:rPr>
          <w:rFonts w:hint="eastAsia" w:ascii="宋体" w:hAnsi="宋体" w:eastAsia="宋体"/>
          <w:snapToGrid/>
          <w:kern w:val="2"/>
          <w:sz w:val="28"/>
          <w:szCs w:val="28"/>
        </w:rPr>
        <w:t>平方千米）内地表覆盖层（厚约2米）以下3.00米厚度的矿体进行了资源量估算，估算标高范围为</w:t>
      </w:r>
      <w:r>
        <w:rPr>
          <w:rFonts w:ascii="宋体" w:hAnsi="宋体" w:eastAsia="宋体"/>
          <w:snapToGrid/>
          <w:kern w:val="2"/>
          <w:sz w:val="28"/>
          <w:szCs w:val="28"/>
        </w:rPr>
        <w:t>11</w:t>
      </w:r>
      <w:r>
        <w:rPr>
          <w:rFonts w:hint="eastAsia" w:ascii="宋体" w:hAnsi="宋体" w:eastAsia="宋体"/>
          <w:snapToGrid/>
          <w:kern w:val="2"/>
          <w:sz w:val="28"/>
          <w:szCs w:val="28"/>
        </w:rPr>
        <w:t>19-</w:t>
      </w:r>
      <w:r>
        <w:rPr>
          <w:rFonts w:ascii="宋体" w:hAnsi="宋体" w:eastAsia="宋体"/>
          <w:snapToGrid/>
          <w:kern w:val="2"/>
          <w:sz w:val="28"/>
          <w:szCs w:val="28"/>
        </w:rPr>
        <w:t>1149</w:t>
      </w:r>
      <w:r>
        <w:rPr>
          <w:rFonts w:hint="eastAsia" w:ascii="宋体" w:hAnsi="宋体" w:eastAsia="宋体"/>
          <w:snapToGrid/>
          <w:kern w:val="2"/>
          <w:sz w:val="28"/>
          <w:szCs w:val="28"/>
        </w:rPr>
        <w:t>米，矿体总体形态为顶部凹凸不平的板状体，板状体厚度随地形起伏而变化。</w:t>
      </w:r>
    </w:p>
    <w:p w14:paraId="54ED503D">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地表露头、浅井、砂砾石层在地表及推断的深度内均一性较好，为单一的砾砂类沉积层，无不良夹层。密实度稍密-中密，无胶结。砂、砾石颗粒成分主要为火山碎屑岩、凝灰岩、硅质岩、花岗岩、花岗片麻岩、花岗闪长岩、花岗斑岩、辉石岩、砂岩等较坚硬岩石。砂砾石分选性差，无层理，颗粒磨圆度中等，多呈次圆状、次棱角状，部分为浑圆状，极少量为片状。</w:t>
      </w:r>
    </w:p>
    <w:p w14:paraId="30B0F446">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经粒级筛分，矿石中各粒级及体积占比为：40毫米以上大砾占7.9%，40～20毫米的中砾占13.0%，20～10毫米的中砾占17.8%，10～5毫米的小砾占12.7%，5～0.5毫米的细砂占28.1%，0.5～0.15毫米的粉砂平均占38.56%（采用统计内插法确定），0.15～0.075毫米粒径砂粒占3.6%（采用统计内插法确定），小于0.075毫米的含泥物质占5.4%。</w:t>
      </w:r>
    </w:p>
    <w:p w14:paraId="63DB50F9">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根据以往建筑用砂石料矿，结合建筑用砂一般工业标准，确定矿区砂石料主要生产为40～20毫米的中砾、20～5毫米小砾、5～0.5毫米的砂、0.5～0.15毫米的细砂，其资源利用率为83.1%。</w:t>
      </w:r>
    </w:p>
    <w:p w14:paraId="12E403F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直径＞40毫米和＜0.15毫米者不可利用，其他为可利用砂砾石，可利用率为83.1%。</w:t>
      </w:r>
    </w:p>
    <w:p w14:paraId="625F1E0B">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3、设计方案</w:t>
      </w:r>
    </w:p>
    <w:p w14:paraId="5B44E130">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建设规模：</w:t>
      </w:r>
      <w:bookmarkStart w:id="4" w:name="_Hlk181722910"/>
      <w:r>
        <w:rPr>
          <w:rFonts w:hint="eastAsia" w:ascii="宋体" w:hAnsi="宋体" w:eastAsia="宋体"/>
          <w:snapToGrid/>
          <w:kern w:val="2"/>
          <w:sz w:val="28"/>
          <w:szCs w:val="28"/>
        </w:rPr>
        <w:t>年开采原矿石量18万立方米</w:t>
      </w:r>
      <w:bookmarkEnd w:id="4"/>
      <w:r>
        <w:rPr>
          <w:rFonts w:hint="eastAsia" w:ascii="宋体" w:hAnsi="宋体" w:eastAsia="宋体"/>
          <w:snapToGrid/>
          <w:kern w:val="2"/>
          <w:sz w:val="28"/>
          <w:szCs w:val="28"/>
        </w:rPr>
        <w:t>（建筑用砂14.96万立方米</w:t>
      </w:r>
      <w:r>
        <w:rPr>
          <w:rFonts w:ascii="宋体" w:hAnsi="宋体" w:eastAsia="宋体"/>
          <w:snapToGrid/>
          <w:kern w:val="2"/>
          <w:sz w:val="28"/>
          <w:szCs w:val="28"/>
        </w:rPr>
        <w:t>/</w:t>
      </w:r>
      <w:r>
        <w:rPr>
          <w:rFonts w:hint="eastAsia" w:ascii="宋体" w:hAnsi="宋体" w:eastAsia="宋体"/>
          <w:snapToGrid/>
          <w:kern w:val="2"/>
          <w:sz w:val="28"/>
          <w:szCs w:val="28"/>
        </w:rPr>
        <w:t>年）。</w:t>
      </w:r>
    </w:p>
    <w:p w14:paraId="0053ACD9">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产品方案：依据</w:t>
      </w:r>
      <w:r>
        <w:rPr>
          <w:rFonts w:ascii="宋体" w:hAnsi="宋体" w:eastAsia="宋体"/>
          <w:snapToGrid/>
          <w:kern w:val="2"/>
          <w:sz w:val="28"/>
          <w:szCs w:val="28"/>
        </w:rPr>
        <w:t>GB14684-2011</w:t>
      </w:r>
      <w:r>
        <w:rPr>
          <w:rFonts w:hint="eastAsia" w:ascii="宋体" w:hAnsi="宋体" w:eastAsia="宋体"/>
          <w:snapToGrid/>
          <w:kern w:val="2"/>
          <w:sz w:val="28"/>
          <w:szCs w:val="28"/>
        </w:rPr>
        <w:t>《建筑用砂》、</w:t>
      </w:r>
      <w:r>
        <w:rPr>
          <w:rFonts w:ascii="宋体" w:hAnsi="宋体" w:eastAsia="宋体"/>
          <w:snapToGrid/>
          <w:kern w:val="2"/>
          <w:sz w:val="28"/>
          <w:szCs w:val="28"/>
        </w:rPr>
        <w:t>GB14685-2011</w:t>
      </w:r>
      <w:r>
        <w:rPr>
          <w:rFonts w:hint="eastAsia" w:ascii="宋体" w:hAnsi="宋体" w:eastAsia="宋体"/>
          <w:snapToGrid/>
          <w:kern w:val="2"/>
          <w:sz w:val="28"/>
          <w:szCs w:val="28"/>
        </w:rPr>
        <w:t>《建筑用卵石、碎石》等规范标准，本矿山建筑用砂矿产品方案为：</w:t>
      </w:r>
      <w:bookmarkStart w:id="5" w:name="_Hlk181723319"/>
      <w:r>
        <w:rPr>
          <w:rFonts w:ascii="宋体" w:hAnsi="宋体" w:eastAsia="宋体"/>
          <w:snapToGrid/>
          <w:kern w:val="2"/>
          <w:sz w:val="28"/>
          <w:szCs w:val="28"/>
        </w:rPr>
        <w:t>40</w:t>
      </w:r>
      <w:r>
        <w:rPr>
          <w:rFonts w:hint="eastAsia" w:ascii="宋体" w:hAnsi="宋体" w:eastAsia="宋体"/>
          <w:snapToGrid/>
          <w:kern w:val="2"/>
          <w:sz w:val="28"/>
          <w:szCs w:val="28"/>
        </w:rPr>
        <w:t>～</w:t>
      </w:r>
      <w:r>
        <w:rPr>
          <w:rFonts w:ascii="宋体" w:hAnsi="宋体" w:eastAsia="宋体"/>
          <w:snapToGrid/>
          <w:kern w:val="2"/>
          <w:sz w:val="28"/>
          <w:szCs w:val="28"/>
        </w:rPr>
        <w:t>20</w:t>
      </w:r>
      <w:r>
        <w:rPr>
          <w:rFonts w:hint="eastAsia" w:ascii="宋体" w:hAnsi="宋体" w:eastAsia="宋体"/>
          <w:snapToGrid/>
          <w:kern w:val="2"/>
          <w:sz w:val="28"/>
          <w:szCs w:val="28"/>
        </w:rPr>
        <w:t>毫米的中砾、2</w:t>
      </w:r>
      <w:r>
        <w:rPr>
          <w:rFonts w:ascii="宋体" w:hAnsi="宋体" w:eastAsia="宋体"/>
          <w:snapToGrid/>
          <w:kern w:val="2"/>
          <w:sz w:val="28"/>
          <w:szCs w:val="28"/>
        </w:rPr>
        <w:t>0</w:t>
      </w:r>
      <w:r>
        <w:rPr>
          <w:rFonts w:hint="eastAsia" w:ascii="宋体" w:hAnsi="宋体" w:eastAsia="宋体"/>
          <w:snapToGrid/>
          <w:kern w:val="2"/>
          <w:sz w:val="28"/>
          <w:szCs w:val="28"/>
        </w:rPr>
        <w:t>～1</w:t>
      </w:r>
      <w:r>
        <w:rPr>
          <w:rFonts w:ascii="宋体" w:hAnsi="宋体" w:eastAsia="宋体"/>
          <w:snapToGrid/>
          <w:kern w:val="2"/>
          <w:sz w:val="28"/>
          <w:szCs w:val="28"/>
        </w:rPr>
        <w:t>0</w:t>
      </w:r>
      <w:r>
        <w:rPr>
          <w:rFonts w:hint="eastAsia" w:ascii="宋体" w:hAnsi="宋体" w:eastAsia="宋体"/>
          <w:snapToGrid/>
          <w:kern w:val="2"/>
          <w:sz w:val="28"/>
          <w:szCs w:val="28"/>
        </w:rPr>
        <w:t>毫米的中砾、1</w:t>
      </w:r>
      <w:r>
        <w:rPr>
          <w:rFonts w:ascii="宋体" w:hAnsi="宋体" w:eastAsia="宋体"/>
          <w:snapToGrid/>
          <w:kern w:val="2"/>
          <w:sz w:val="28"/>
          <w:szCs w:val="28"/>
        </w:rPr>
        <w:t>0</w:t>
      </w:r>
      <w:r>
        <w:rPr>
          <w:rFonts w:hint="eastAsia" w:ascii="宋体" w:hAnsi="宋体" w:eastAsia="宋体"/>
          <w:snapToGrid/>
          <w:kern w:val="2"/>
          <w:sz w:val="28"/>
          <w:szCs w:val="28"/>
        </w:rPr>
        <w:t>～5毫米小砾、5～</w:t>
      </w:r>
      <w:r>
        <w:rPr>
          <w:rFonts w:ascii="宋体" w:hAnsi="宋体" w:eastAsia="宋体"/>
          <w:snapToGrid/>
          <w:kern w:val="2"/>
          <w:sz w:val="28"/>
          <w:szCs w:val="28"/>
        </w:rPr>
        <w:t>0.</w:t>
      </w:r>
      <w:r>
        <w:rPr>
          <w:rFonts w:hint="eastAsia" w:ascii="宋体" w:hAnsi="宋体" w:eastAsia="宋体"/>
          <w:snapToGrid/>
          <w:kern w:val="2"/>
          <w:sz w:val="28"/>
          <w:szCs w:val="28"/>
        </w:rPr>
        <w:t>5毫米的细砂、0.5～</w:t>
      </w:r>
      <w:r>
        <w:rPr>
          <w:rFonts w:ascii="宋体" w:hAnsi="宋体" w:eastAsia="宋体"/>
          <w:snapToGrid/>
          <w:kern w:val="2"/>
          <w:sz w:val="28"/>
          <w:szCs w:val="28"/>
        </w:rPr>
        <w:t>0.</w:t>
      </w:r>
      <w:r>
        <w:rPr>
          <w:rFonts w:hint="eastAsia" w:ascii="宋体" w:hAnsi="宋体" w:eastAsia="宋体"/>
          <w:snapToGrid/>
          <w:kern w:val="2"/>
          <w:sz w:val="28"/>
          <w:szCs w:val="28"/>
        </w:rPr>
        <w:t>15毫米的粉砂，其资源利用率为83.1</w:t>
      </w:r>
      <w:r>
        <w:rPr>
          <w:rFonts w:ascii="宋体" w:hAnsi="宋体" w:eastAsia="宋体"/>
          <w:snapToGrid/>
          <w:kern w:val="2"/>
          <w:sz w:val="28"/>
          <w:szCs w:val="28"/>
        </w:rPr>
        <w:t>%</w:t>
      </w:r>
      <w:bookmarkEnd w:id="5"/>
      <w:r>
        <w:rPr>
          <w:rFonts w:hint="eastAsia" w:ascii="宋体" w:hAnsi="宋体" w:eastAsia="宋体"/>
          <w:snapToGrid/>
          <w:kern w:val="2"/>
          <w:sz w:val="28"/>
          <w:szCs w:val="28"/>
        </w:rPr>
        <w:t>。</w:t>
      </w:r>
    </w:p>
    <w:p w14:paraId="6A0517B9">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开采方式：设计采用露天开采方式，采场类型为山坡-凹陷式采场。</w:t>
      </w:r>
    </w:p>
    <w:p w14:paraId="2167DC36">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开拓运输方案：设计</w:t>
      </w:r>
      <w:r>
        <w:rPr>
          <w:rFonts w:ascii="宋体" w:hAnsi="宋体" w:eastAsia="宋体"/>
          <w:snapToGrid/>
          <w:kern w:val="2"/>
          <w:sz w:val="28"/>
          <w:szCs w:val="28"/>
        </w:rPr>
        <w:t>采用公路开拓</w:t>
      </w:r>
      <w:r>
        <w:rPr>
          <w:rFonts w:hint="eastAsia" w:ascii="宋体" w:hAnsi="宋体" w:eastAsia="宋体"/>
          <w:snapToGrid/>
          <w:kern w:val="2"/>
          <w:sz w:val="28"/>
          <w:szCs w:val="28"/>
        </w:rPr>
        <w:t>-</w:t>
      </w:r>
      <w:r>
        <w:rPr>
          <w:rFonts w:ascii="宋体" w:hAnsi="宋体" w:eastAsia="宋体"/>
          <w:snapToGrid/>
          <w:kern w:val="2"/>
          <w:sz w:val="28"/>
          <w:szCs w:val="28"/>
        </w:rPr>
        <w:t>汽车运输方案。</w:t>
      </w:r>
    </w:p>
    <w:p w14:paraId="586BE969">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采矿方法：根据该矿为第四系全新统冲洪积层、矿体形态简单、产状近水平、矿区纵向坡度小等特点，设计采用挖掘机铲挖。</w:t>
      </w:r>
    </w:p>
    <w:p w14:paraId="7CF5F55E">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矿山服务年限：5年。</w:t>
      </w:r>
    </w:p>
    <w:p w14:paraId="13F6F322">
      <w:pPr>
        <w:pStyle w:val="4"/>
        <w:spacing w:line="360" w:lineRule="auto"/>
        <w:ind w:firstLine="548" w:firstLineChars="200"/>
        <w:jc w:val="both"/>
        <w:rPr>
          <w:rFonts w:hint="eastAsia" w:ascii="宋体" w:hAnsi="宋体" w:eastAsia="宋体" w:cs="宋体"/>
          <w:spacing w:val="-3"/>
          <w:sz w:val="28"/>
          <w:szCs w:val="28"/>
        </w:rPr>
      </w:pPr>
      <w:r>
        <w:rPr>
          <w:rFonts w:hint="eastAsia" w:ascii="宋体" w:hAnsi="宋体" w:eastAsia="宋体" w:cs="宋体"/>
          <w:spacing w:val="-3"/>
          <w:sz w:val="28"/>
          <w:szCs w:val="28"/>
        </w:rPr>
        <w:t>（2）主要审查意见</w:t>
      </w:r>
    </w:p>
    <w:p w14:paraId="2725A5BE">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1、该矿属于中型矿山，《方案》由巴州行琮环境治理有限公司编写，章节齐全，内容全面，基本上达到矿产资源开发利用方案编写要求。</w:t>
      </w:r>
    </w:p>
    <w:p w14:paraId="0B5A243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2、《方案》编制依据地质资料为2024</w:t>
      </w:r>
      <w:r>
        <w:rPr>
          <w:rFonts w:ascii="宋体" w:hAnsi="宋体" w:eastAsia="宋体"/>
          <w:snapToGrid/>
          <w:kern w:val="2"/>
          <w:sz w:val="28"/>
          <w:szCs w:val="28"/>
        </w:rPr>
        <w:t>年</w:t>
      </w:r>
      <w:r>
        <w:rPr>
          <w:rFonts w:hint="eastAsia" w:ascii="宋体" w:hAnsi="宋体" w:eastAsia="宋体"/>
          <w:snapToGrid/>
          <w:kern w:val="2"/>
          <w:sz w:val="28"/>
          <w:szCs w:val="28"/>
        </w:rPr>
        <w:t>8</w:t>
      </w:r>
      <w:r>
        <w:rPr>
          <w:rFonts w:ascii="宋体" w:hAnsi="宋体" w:eastAsia="宋体"/>
          <w:snapToGrid/>
          <w:kern w:val="2"/>
          <w:sz w:val="28"/>
          <w:szCs w:val="28"/>
        </w:rPr>
        <w:t>月</w:t>
      </w:r>
      <w:r>
        <w:rPr>
          <w:rFonts w:hint="eastAsia" w:ascii="宋体" w:hAnsi="宋体" w:eastAsia="宋体"/>
          <w:snapToGrid/>
          <w:kern w:val="2"/>
          <w:sz w:val="28"/>
          <w:szCs w:val="28"/>
        </w:rPr>
        <w:t>巴州行琮环境治理有限公司编制的《新疆焉耆县建筑用砂12号矿普查报告》及其评审意见书，该报告已经通过评审，地质资料能够满足开发利用方案设计要求。</w:t>
      </w:r>
    </w:p>
    <w:p w14:paraId="1A5D93B3">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3、依据市场需求、矿床规模及开采条件，矿山建设规模18万立方米/年，矿山服务年限5年，建设规模与矿床规模及矿山服务年限基本匹配。</w:t>
      </w:r>
    </w:p>
    <w:p w14:paraId="08167153">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4、《方案》根据各矿体的赋存特征，设计采用露天开采方式，采场类型为山坡-凹陷式采场，</w:t>
      </w:r>
      <w:r>
        <w:rPr>
          <w:rFonts w:ascii="宋体" w:hAnsi="宋体" w:eastAsia="宋体"/>
          <w:snapToGrid/>
          <w:kern w:val="2"/>
          <w:sz w:val="28"/>
          <w:szCs w:val="28"/>
        </w:rPr>
        <w:t>采用公路开拓</w:t>
      </w:r>
      <w:r>
        <w:rPr>
          <w:rFonts w:hint="eastAsia" w:ascii="宋体" w:hAnsi="宋体" w:eastAsia="宋体"/>
          <w:snapToGrid/>
          <w:kern w:val="2"/>
          <w:sz w:val="28"/>
          <w:szCs w:val="28"/>
        </w:rPr>
        <w:t>-</w:t>
      </w:r>
      <w:r>
        <w:rPr>
          <w:rFonts w:ascii="宋体" w:hAnsi="宋体" w:eastAsia="宋体"/>
          <w:snapToGrid/>
          <w:kern w:val="2"/>
          <w:sz w:val="28"/>
          <w:szCs w:val="28"/>
        </w:rPr>
        <w:t>汽车运输方案</w:t>
      </w:r>
      <w:r>
        <w:rPr>
          <w:rFonts w:hint="eastAsia" w:ascii="宋体" w:hAnsi="宋体" w:eastAsia="宋体"/>
          <w:snapToGrid/>
          <w:kern w:val="2"/>
          <w:sz w:val="28"/>
          <w:szCs w:val="28"/>
        </w:rPr>
        <w:t>，开拓方式、采矿方法符合矿山实际，合理可行。设计的采矿回采率95.00%，指标适宜，基本达到合理利用资源目的。</w:t>
      </w:r>
    </w:p>
    <w:p w14:paraId="65C70E1D">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5、开采工艺参数及采场要素齐全，主要采矿设备型号规格及数量选择合理。</w:t>
      </w:r>
    </w:p>
    <w:p w14:paraId="29482AEA">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 xml:space="preserve">6、制定的矿山安全、绿色矿山建设及环境保护措施基本可行。 </w:t>
      </w:r>
    </w:p>
    <w:p w14:paraId="67665408">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7、附图及附件齐全。</w:t>
      </w:r>
    </w:p>
    <w:p w14:paraId="45C109E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8、确定的产品方案符合实际。</w:t>
      </w:r>
    </w:p>
    <w:p w14:paraId="7604CD41">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四、 矿山地质环境影响现状评估</w:t>
      </w:r>
    </w:p>
    <w:p w14:paraId="4BCADD14">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现状条件下将</w:t>
      </w:r>
      <w:r>
        <w:rPr>
          <w:rFonts w:ascii="宋体" w:hAnsi="宋体" w:eastAsia="宋体"/>
          <w:snapToGrid/>
          <w:kern w:val="2"/>
          <w:sz w:val="28"/>
          <w:szCs w:val="28"/>
        </w:rPr>
        <w:t>评估区内矿山地质环境影响</w:t>
      </w:r>
      <w:r>
        <w:rPr>
          <w:rFonts w:hint="eastAsia" w:ascii="宋体" w:hAnsi="宋体" w:eastAsia="宋体"/>
          <w:snapToGrid/>
          <w:kern w:val="2"/>
          <w:sz w:val="28"/>
          <w:szCs w:val="28"/>
        </w:rPr>
        <w:t>现状</w:t>
      </w:r>
      <w:r>
        <w:rPr>
          <w:rFonts w:ascii="宋体" w:hAnsi="宋体" w:eastAsia="宋体"/>
          <w:snapToGrid/>
          <w:kern w:val="2"/>
          <w:sz w:val="28"/>
          <w:szCs w:val="28"/>
        </w:rPr>
        <w:t>评估划分</w:t>
      </w:r>
      <w:r>
        <w:rPr>
          <w:rFonts w:hint="eastAsia" w:ascii="宋体" w:hAnsi="宋体" w:eastAsia="宋体"/>
          <w:snapToGrid/>
          <w:kern w:val="2"/>
          <w:sz w:val="28"/>
          <w:szCs w:val="28"/>
        </w:rPr>
        <w:t>1</w:t>
      </w:r>
      <w:r>
        <w:rPr>
          <w:rFonts w:ascii="宋体" w:hAnsi="宋体" w:eastAsia="宋体"/>
          <w:snapToGrid/>
          <w:kern w:val="2"/>
          <w:sz w:val="28"/>
          <w:szCs w:val="28"/>
        </w:rPr>
        <w:t>个分区</w:t>
      </w:r>
      <w:r>
        <w:rPr>
          <w:rFonts w:hint="eastAsia" w:ascii="宋体" w:hAnsi="宋体" w:eastAsia="宋体"/>
          <w:snapToGrid/>
          <w:kern w:val="2"/>
          <w:sz w:val="28"/>
          <w:szCs w:val="28"/>
        </w:rPr>
        <w:t>。</w:t>
      </w:r>
    </w:p>
    <w:p w14:paraId="7D4B0BAB">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较轻区：面积0.4784平方千米，评估区内现状地质灾害不发育，矿业活动对地形地貌、水土环境、含水层影响或破坏程度较轻。</w:t>
      </w:r>
    </w:p>
    <w:p w14:paraId="2CD4308B">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矿山地质环境影响现状评估结论基本合理。</w:t>
      </w:r>
    </w:p>
    <w:p w14:paraId="0861974F">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五、矿山地质环境影响预测评估</w:t>
      </w:r>
    </w:p>
    <w:p w14:paraId="21E3EFFE">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依据《矿山地质环境保护与恢复治理方案编制规范》（DZ/T0223-2011），预测将评估区矿山地质环境影响程度均划分为严重、较严重和较轻三个区。</w:t>
      </w:r>
    </w:p>
    <w:p w14:paraId="26140AD3">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严重区：面积32.36万平方米；主要为露天采矿场，预测矿山开采活动对地形地貌景观影响程度严重，受地质灾害影响较严重。</w:t>
      </w:r>
    </w:p>
    <w:p w14:paraId="6E85AA89">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较严重区：面积2.63万平方米，包括废石堆放场、矿部生活区、工业广场和矿山道路，主要是对地形地貌景观影响程度较严重，其中废石堆放场受地质灾害影响较严重。</w:t>
      </w:r>
    </w:p>
    <w:p w14:paraId="68E3EEEC">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较轻区：面积12.85万平方米，包括评估区内除严重区、较严重区以外的其它区域。地质灾害不发育，矿山开采对地形地貌、水土环境、含水层影响或破坏、大气污染程度较轻。</w:t>
      </w:r>
    </w:p>
    <w:p w14:paraId="7DB9578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矿山地质环境影响预测评估结论符合实际。</w:t>
      </w:r>
    </w:p>
    <w:p w14:paraId="12DFC0BD">
      <w:pPr>
        <w:widowControl w:val="0"/>
        <w:kinsoku/>
        <w:autoSpaceDE/>
        <w:autoSpaceDN/>
        <w:spacing w:line="360" w:lineRule="auto"/>
        <w:ind w:firstLine="562" w:firstLineChars="200"/>
        <w:jc w:val="both"/>
        <w:textAlignment w:val="auto"/>
        <w:outlineLvl w:val="0"/>
        <w:rPr>
          <w:rFonts w:ascii="宋体" w:hAnsi="宋体" w:eastAsia="宋体"/>
          <w:b/>
          <w:snapToGrid/>
          <w:kern w:val="2"/>
          <w:sz w:val="28"/>
          <w:szCs w:val="28"/>
        </w:rPr>
      </w:pPr>
      <w:r>
        <w:rPr>
          <w:rFonts w:hint="eastAsia" w:ascii="宋体" w:hAnsi="宋体" w:eastAsia="宋体"/>
          <w:b/>
          <w:snapToGrid/>
          <w:kern w:val="2"/>
          <w:sz w:val="28"/>
          <w:szCs w:val="28"/>
        </w:rPr>
        <w:t>六、绿色矿山建设</w:t>
      </w:r>
    </w:p>
    <w:p w14:paraId="346AED2F">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本次方案设计矿山露天回采率为9</w:t>
      </w:r>
      <w:r>
        <w:rPr>
          <w:rFonts w:ascii="宋体" w:hAnsi="宋体" w:eastAsia="宋体"/>
          <w:snapToGrid/>
          <w:kern w:val="2"/>
          <w:sz w:val="28"/>
          <w:szCs w:val="28"/>
        </w:rPr>
        <w:t>5</w:t>
      </w:r>
      <w:r>
        <w:rPr>
          <w:rFonts w:hint="eastAsia" w:ascii="宋体" w:hAnsi="宋体" w:eastAsia="宋体"/>
          <w:snapToGrid/>
          <w:kern w:val="2"/>
          <w:sz w:val="28"/>
          <w:szCs w:val="28"/>
        </w:rPr>
        <w:t>％，符合指标要求。综合利用率：本矿无其它共、伴生矿产</w:t>
      </w:r>
      <w:r>
        <w:rPr>
          <w:rFonts w:ascii="宋体" w:hAnsi="宋体" w:eastAsia="宋体"/>
          <w:snapToGrid/>
          <w:kern w:val="2"/>
          <w:sz w:val="28"/>
          <w:szCs w:val="28"/>
        </w:rPr>
        <w:t>。</w:t>
      </w:r>
    </w:p>
    <w:p w14:paraId="0A9C537A">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七、矿山地质环境保护与治理恢复分区</w:t>
      </w:r>
    </w:p>
    <w:p w14:paraId="1EA0497C">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评估区划分为重点防治区、次重点防治区和一般防治区。</w:t>
      </w:r>
    </w:p>
    <w:p w14:paraId="1B4E2CD7">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矿山地质环境重点防治区（I）：包括采矿场范围，为矿山地质环境影响严重区，面积32.36万平方米。</w:t>
      </w:r>
    </w:p>
    <w:p w14:paraId="50741F5A">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矿山地质环境次重点防治区（II）：包括矿部生活区、废石堆放场、工业广场和矿山道路，为矿山地质环境影响较严重区，面积2.63万平方米。</w:t>
      </w:r>
    </w:p>
    <w:p w14:paraId="378CD627">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矿山地质环境一般防治区（III）：除重点防治区、次重点防治区以外的其他区域，矿山地质环境影响较轻区，面积12.85万平方米。</w:t>
      </w:r>
    </w:p>
    <w:p w14:paraId="3EB38681">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该区内保持原生地貌景观，采矿活动对该区域地质环境影响程度较轻。主要防治措施：禁止随意破坏该区域的地质环境，确保评估区内地质环境保持原有状态。</w:t>
      </w:r>
    </w:p>
    <w:p w14:paraId="04E85723">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矿山地质环境保护与治理恢复分区基本合理。</w:t>
      </w:r>
    </w:p>
    <w:p w14:paraId="2FF12EEC">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八、土地复垦方案</w:t>
      </w:r>
    </w:p>
    <w:p w14:paraId="2526DD71">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本方案土地复垦区面积34.99公顷，复垦责任范围面积34.99公顷，复垦方向为其他土地-裸岩石砾地（2307），复垦率100%。</w:t>
      </w:r>
    </w:p>
    <w:p w14:paraId="3F556360">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1、土地复垦工程措施及监测</w:t>
      </w:r>
    </w:p>
    <w:p w14:paraId="0BF3B88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本方案划分5个土地复垦单元，分别为露天采矿场土地复垦单元、废石堆放场土地复垦单元、矿部生活区土地复垦单元、工业广场土地复垦单元以及矿山道路土地复垦单元。土地复垦措施主要包括采坑回填工程、砌体拆除、清运工程和场地平整工程，生产期间对各场地设施进行土地损毁监测，土地复垦工程在矿山闭坑后进行。</w:t>
      </w:r>
    </w:p>
    <w:p w14:paraId="7D4C3415">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2、土地复垦主要工作量</w:t>
      </w:r>
    </w:p>
    <w:p w14:paraId="2E78E1AD">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bookmarkStart w:id="6" w:name="_Hlk142048758"/>
      <w:r>
        <w:rPr>
          <w:rFonts w:hint="eastAsia" w:ascii="宋体" w:hAnsi="宋体" w:eastAsia="宋体"/>
          <w:snapToGrid/>
          <w:kern w:val="2"/>
          <w:sz w:val="28"/>
          <w:szCs w:val="28"/>
        </w:rPr>
        <w:t>露天采坑回填8.09万立方米，场地平整28541立方米；生活区拆除建筑物160立方米，清运建筑垃圾16</w:t>
      </w:r>
      <w:r>
        <w:rPr>
          <w:rFonts w:ascii="宋体" w:hAnsi="宋体" w:eastAsia="宋体"/>
          <w:snapToGrid/>
          <w:kern w:val="2"/>
          <w:sz w:val="28"/>
          <w:szCs w:val="28"/>
        </w:rPr>
        <w:t>0</w:t>
      </w:r>
      <w:r>
        <w:rPr>
          <w:rFonts w:hint="eastAsia" w:ascii="宋体" w:hAnsi="宋体" w:eastAsia="宋体"/>
          <w:snapToGrid/>
          <w:kern w:val="2"/>
          <w:sz w:val="28"/>
          <w:szCs w:val="28"/>
        </w:rPr>
        <w:t>立方米，土地平整225立方米；工业广场拆除建筑物3520立方米，清运建筑垃圾352</w:t>
      </w:r>
      <w:r>
        <w:rPr>
          <w:rFonts w:ascii="宋体" w:hAnsi="宋体" w:eastAsia="宋体"/>
          <w:snapToGrid/>
          <w:kern w:val="2"/>
          <w:sz w:val="28"/>
          <w:szCs w:val="28"/>
        </w:rPr>
        <w:t>0</w:t>
      </w:r>
      <w:r>
        <w:rPr>
          <w:rFonts w:hint="eastAsia" w:ascii="宋体" w:hAnsi="宋体" w:eastAsia="宋体"/>
          <w:snapToGrid/>
          <w:kern w:val="2"/>
          <w:sz w:val="28"/>
          <w:szCs w:val="28"/>
        </w:rPr>
        <w:t>立方米，土地平整3750立方米；废石堆放场土地平整1500立方米；矿山道路土地平整348立方米；土地损毁监测50点次。</w:t>
      </w:r>
      <w:bookmarkEnd w:id="6"/>
    </w:p>
    <w:p w14:paraId="4A42BA6E">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土地复垦方案基本可行。</w:t>
      </w:r>
    </w:p>
    <w:p w14:paraId="0057897A">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九、技术经济指标</w:t>
      </w:r>
    </w:p>
    <w:p w14:paraId="575B7DA0">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新疆焉耆县建筑用砂12号矿建设规模为年采建筑业砂石料矿18.00万立方米，项目服务年限总计为5年。项目建成投产后，生产年销售收入平均为990.00万元，生产年份利润总额平均为187.75万元，年上缴所得税额平均为46.94万元，年税后利润平均为140.81万元，投资回收期1.98年。通过项目的财务计算与分析，认为建设项目具有经济上的可行性。</w:t>
      </w:r>
    </w:p>
    <w:p w14:paraId="2EC6D3A1">
      <w:pPr>
        <w:widowControl w:val="0"/>
        <w:kinsoku/>
        <w:autoSpaceDE/>
        <w:autoSpaceDN/>
        <w:spacing w:line="360" w:lineRule="auto"/>
        <w:ind w:firstLine="560" w:firstLineChars="200"/>
        <w:jc w:val="both"/>
        <w:textAlignment w:val="auto"/>
        <w:rPr>
          <w:rFonts w:ascii="宋体" w:hAnsi="宋体" w:eastAsia="宋体"/>
          <w:snapToGrid/>
          <w:kern w:val="2"/>
          <w:sz w:val="28"/>
          <w:szCs w:val="28"/>
        </w:rPr>
      </w:pPr>
      <w:r>
        <w:rPr>
          <w:rFonts w:hint="eastAsia" w:ascii="宋体" w:hAnsi="宋体" w:eastAsia="宋体"/>
          <w:snapToGrid/>
          <w:kern w:val="2"/>
          <w:sz w:val="28"/>
          <w:szCs w:val="28"/>
        </w:rPr>
        <w:t>新疆焉耆县建筑用砂12号矿矿山地质环境保护与土地复垦静态总投资320.67万元，动态总投资339.57万元。其中：矿山地质环境保护和治理工程静态总投资估算费用约73.52万元，动态投资76.60万元；土地复垦工程静态总投资为247.16万元，动态总投资262.96万元。</w:t>
      </w:r>
    </w:p>
    <w:p w14:paraId="44FA0F6D">
      <w:pPr>
        <w:widowControl w:val="0"/>
        <w:kinsoku/>
        <w:autoSpaceDE/>
        <w:autoSpaceDN/>
        <w:spacing w:line="360" w:lineRule="auto"/>
        <w:ind w:firstLine="562" w:firstLineChars="200"/>
        <w:jc w:val="both"/>
        <w:textAlignment w:val="auto"/>
        <w:outlineLvl w:val="0"/>
        <w:rPr>
          <w:rFonts w:hint="eastAsia" w:ascii="宋体" w:hAnsi="宋体" w:eastAsia="宋体"/>
          <w:b/>
          <w:snapToGrid/>
          <w:kern w:val="2"/>
          <w:sz w:val="28"/>
          <w:szCs w:val="28"/>
        </w:rPr>
      </w:pPr>
      <w:r>
        <w:rPr>
          <w:rFonts w:hint="eastAsia" w:ascii="宋体" w:hAnsi="宋体" w:eastAsia="宋体"/>
          <w:b/>
          <w:snapToGrid/>
          <w:kern w:val="2"/>
          <w:sz w:val="28"/>
          <w:szCs w:val="28"/>
        </w:rPr>
        <w:t>十、方案补充修改和完善</w:t>
      </w:r>
    </w:p>
    <w:p w14:paraId="22C6608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1、完善所有表格签字；</w:t>
      </w:r>
    </w:p>
    <w:p w14:paraId="3EE00C48">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2、加强图面的整饰。</w:t>
      </w:r>
    </w:p>
    <w:p w14:paraId="203621BC">
      <w:pPr>
        <w:widowControl w:val="0"/>
        <w:kinsoku/>
        <w:autoSpaceDE/>
        <w:autoSpaceDN/>
        <w:spacing w:line="360" w:lineRule="auto"/>
        <w:ind w:firstLine="560" w:firstLineChars="200"/>
        <w:jc w:val="both"/>
        <w:textAlignment w:val="auto"/>
        <w:rPr>
          <w:rFonts w:hint="eastAsia" w:ascii="宋体" w:hAnsi="宋体" w:eastAsia="宋体"/>
          <w:snapToGrid/>
          <w:kern w:val="2"/>
          <w:sz w:val="28"/>
          <w:szCs w:val="28"/>
        </w:rPr>
      </w:pPr>
      <w:r>
        <w:rPr>
          <w:rFonts w:hint="eastAsia" w:ascii="宋体" w:hAnsi="宋体" w:eastAsia="宋体"/>
          <w:snapToGrid/>
          <w:kern w:val="2"/>
          <w:sz w:val="28"/>
          <w:szCs w:val="28"/>
        </w:rPr>
        <w:t>该《方案》达到《矿山地质环境保护与土地复垦方案编制指南》及相关技术标准的要求，开采方案合理可行，土地利用现状明确、损毁预测较合理，复垦责任范围全面，复垦可行性分析较合理，提出的复垦标准适当，工程措施与工程设计基本可行，经费估算与进度安排基本合理，公众参与和保障措施较完备。</w:t>
      </w:r>
    </w:p>
    <w:p w14:paraId="4C2E43CA">
      <w:pPr>
        <w:pStyle w:val="8"/>
        <w:rPr>
          <w:rFonts w:hint="eastAsia" w:ascii="宋体" w:hAnsi="宋体" w:eastAsia="宋体" w:cs="宋体"/>
          <w:spacing w:val="-9"/>
          <w:sz w:val="28"/>
          <w:szCs w:val="28"/>
        </w:rPr>
      </w:pPr>
    </w:p>
    <w:p w14:paraId="7ECE0BA6">
      <w:pPr>
        <w:pStyle w:val="8"/>
        <w:rPr>
          <w:rFonts w:hint="eastAsia" w:ascii="宋体" w:hAnsi="宋体" w:eastAsia="宋体" w:cs="宋体"/>
          <w:spacing w:val="-9"/>
          <w:sz w:val="28"/>
          <w:szCs w:val="28"/>
        </w:rPr>
      </w:pPr>
    </w:p>
    <w:p w14:paraId="29A4A44D">
      <w:pPr>
        <w:spacing w:line="360" w:lineRule="auto"/>
        <w:jc w:val="right"/>
        <w:rPr>
          <w:rFonts w:hint="eastAsia" w:ascii="宋体" w:hAnsi="宋体" w:eastAsia="宋体" w:cs="宋体"/>
          <w:sz w:val="28"/>
          <w:szCs w:val="28"/>
        </w:rPr>
      </w:pPr>
      <w:r>
        <w:rPr>
          <w:rFonts w:hint="eastAsia" w:ascii="宋体" w:hAnsi="宋体" w:eastAsia="宋体" w:cs="宋体"/>
          <w:spacing w:val="-2"/>
          <w:sz w:val="28"/>
          <w:szCs w:val="28"/>
        </w:rPr>
        <w:t xml:space="preserve">   </w:t>
      </w:r>
      <w:r>
        <w:rPr>
          <w:rFonts w:hint="eastAsia" w:ascii="宋体" w:hAnsi="宋体" w:eastAsia="宋体"/>
          <w:snapToGrid/>
          <w:kern w:val="2"/>
          <w:sz w:val="28"/>
          <w:szCs w:val="28"/>
        </w:rPr>
        <w:t xml:space="preserve"> 二〇二四年十一月六日</w:t>
      </w:r>
    </w:p>
    <w:p w14:paraId="39AFF563">
      <w:pPr>
        <w:pStyle w:val="4"/>
        <w:spacing w:line="360" w:lineRule="auto"/>
        <w:rPr>
          <w:rFonts w:hint="eastAsia" w:eastAsia="宋体"/>
          <w:sz w:val="28"/>
          <w:szCs w:val="28"/>
        </w:rPr>
      </w:pPr>
    </w:p>
    <w:p w14:paraId="7A3F78D8">
      <w:pPr>
        <w:pStyle w:val="4"/>
        <w:ind w:left="0" w:leftChars="0" w:firstLine="0" w:firstLineChars="0"/>
        <w:rPr>
          <w:rFonts w:hint="eastAsia" w:ascii="宋体" w:hAnsi="宋体" w:eastAsia="宋体" w:cs="宋体"/>
          <w:spacing w:val="-9"/>
          <w:sz w:val="28"/>
          <w:szCs w:val="28"/>
        </w:rPr>
      </w:pPr>
    </w:p>
    <w:p w14:paraId="27E41743">
      <w:pPr>
        <w:pStyle w:val="4"/>
        <w:rPr>
          <w:rFonts w:ascii="宋体" w:hAnsi="宋体" w:eastAsia="宋体"/>
          <w:snapToGrid/>
          <w:kern w:val="2"/>
          <w:sz w:val="28"/>
          <w:szCs w:val="28"/>
        </w:rPr>
        <w:sectPr>
          <w:footerReference r:id="rId3" w:type="default"/>
          <w:pgSz w:w="11906" w:h="16838"/>
          <w:pgMar w:top="1134" w:right="1418" w:bottom="1134" w:left="1701" w:header="851" w:footer="992" w:gutter="0"/>
          <w:pgNumType w:start="1"/>
          <w:cols w:space="720" w:num="1"/>
          <w:docGrid w:linePitch="312" w:charSpace="0"/>
        </w:sectPr>
      </w:pPr>
      <w:r>
        <w:rPr>
          <w:rFonts w:hint="eastAsia" w:ascii="宋体" w:hAnsi="宋体" w:eastAsia="宋体"/>
          <w:snapToGrid/>
          <w:kern w:val="2"/>
          <w:sz w:val="28"/>
          <w:szCs w:val="28"/>
        </w:rPr>
        <w:t>附件</w:t>
      </w:r>
      <w:r>
        <w:rPr>
          <w:rFonts w:hint="eastAsia" w:ascii="宋体" w:hAnsi="宋体" w:eastAsia="宋体"/>
          <w:snapToGrid/>
          <w:kern w:val="2"/>
          <w:sz w:val="28"/>
          <w:szCs w:val="28"/>
          <w:lang w:val="en-US" w:eastAsia="zh-CN"/>
        </w:rPr>
        <w:t>:</w:t>
      </w:r>
      <w:r>
        <w:rPr>
          <w:rFonts w:hint="eastAsia" w:ascii="宋体" w:hAnsi="宋体" w:eastAsia="宋体"/>
          <w:snapToGrid/>
          <w:kern w:val="2"/>
          <w:sz w:val="28"/>
          <w:szCs w:val="28"/>
        </w:rPr>
        <w:t xml:space="preserve"> 审查专家组成员名单</w:t>
      </w:r>
    </w:p>
    <w:p w14:paraId="64049718">
      <w:pPr>
        <w:spacing w:line="360" w:lineRule="auto"/>
        <w:jc w:val="center"/>
        <w:rPr>
          <w:rFonts w:hint="eastAsia" w:ascii="仿宋" w:hAnsi="仿宋" w:eastAsia="仿宋" w:cs="仿宋"/>
          <w:b/>
          <w:bCs/>
          <w:sz w:val="32"/>
          <w:szCs w:val="32"/>
        </w:rPr>
      </w:pPr>
    </w:p>
    <w:p w14:paraId="2E069D0C">
      <w:pPr>
        <w:spacing w:line="360" w:lineRule="auto"/>
        <w:jc w:val="center"/>
        <w:rPr>
          <w:rFonts w:hint="eastAsia" w:ascii="仿宋" w:hAnsi="仿宋" w:eastAsia="仿宋" w:cs="仿宋"/>
          <w:b/>
          <w:bCs/>
          <w:sz w:val="32"/>
          <w:szCs w:val="32"/>
        </w:rPr>
      </w:pPr>
    </w:p>
    <w:p w14:paraId="28A6848F">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《新疆云台建材有限公司新疆焉耆县建筑用砂12号矿矿产资源开发利用与生态保护修复方案》</w:t>
      </w:r>
    </w:p>
    <w:p w14:paraId="65BA37D5">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评审专家签字名单</w:t>
      </w:r>
    </w:p>
    <w:tbl>
      <w:tblPr>
        <w:tblStyle w:val="5"/>
        <w:tblW w:w="13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843"/>
        <w:gridCol w:w="1276"/>
        <w:gridCol w:w="5670"/>
        <w:gridCol w:w="2747"/>
        <w:gridCol w:w="1597"/>
      </w:tblGrid>
      <w:tr w14:paraId="7E4F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1" w:type="dxa"/>
            <w:noWrap w:val="0"/>
            <w:vAlign w:val="top"/>
          </w:tcPr>
          <w:p w14:paraId="77AC35F7">
            <w:pPr>
              <w:jc w:val="center"/>
              <w:rPr>
                <w:rFonts w:ascii="仿宋" w:hAnsi="仿宋" w:eastAsia="仿宋" w:cs="仿宋"/>
                <w:b/>
                <w:bCs/>
                <w:sz w:val="28"/>
                <w:szCs w:val="28"/>
              </w:rPr>
            </w:pPr>
            <w:r>
              <w:rPr>
                <w:rFonts w:hint="eastAsia" w:ascii="仿宋" w:hAnsi="仿宋" w:eastAsia="仿宋" w:cs="仿宋_GB2312"/>
                <w:b/>
                <w:sz w:val="28"/>
                <w:szCs w:val="28"/>
                <w:lang w:bidi="ar"/>
              </w:rPr>
              <w:t>序号</w:t>
            </w:r>
          </w:p>
        </w:tc>
        <w:tc>
          <w:tcPr>
            <w:tcW w:w="1843" w:type="dxa"/>
            <w:noWrap w:val="0"/>
            <w:vAlign w:val="center"/>
          </w:tcPr>
          <w:p w14:paraId="5B4B176A">
            <w:pPr>
              <w:jc w:val="center"/>
              <w:rPr>
                <w:rFonts w:ascii="仿宋" w:hAnsi="仿宋" w:eastAsia="仿宋" w:cs="仿宋"/>
                <w:b/>
                <w:bCs/>
                <w:sz w:val="28"/>
                <w:szCs w:val="28"/>
              </w:rPr>
            </w:pPr>
            <w:r>
              <w:rPr>
                <w:rFonts w:hint="eastAsia" w:ascii="仿宋" w:hAnsi="仿宋" w:eastAsia="仿宋" w:cs="仿宋_GB2312"/>
                <w:b/>
                <w:sz w:val="28"/>
                <w:szCs w:val="28"/>
                <w:lang w:bidi="ar"/>
              </w:rPr>
              <w:t>审查职务</w:t>
            </w:r>
          </w:p>
        </w:tc>
        <w:tc>
          <w:tcPr>
            <w:tcW w:w="1276" w:type="dxa"/>
            <w:noWrap w:val="0"/>
            <w:vAlign w:val="center"/>
          </w:tcPr>
          <w:p w14:paraId="2C9CC32E">
            <w:pPr>
              <w:jc w:val="center"/>
              <w:rPr>
                <w:rFonts w:ascii="仿宋" w:hAnsi="仿宋" w:eastAsia="仿宋" w:cs="仿宋"/>
                <w:b/>
                <w:bCs/>
                <w:sz w:val="28"/>
                <w:szCs w:val="28"/>
              </w:rPr>
            </w:pPr>
            <w:r>
              <w:rPr>
                <w:rFonts w:hint="eastAsia" w:ascii="仿宋" w:hAnsi="仿宋" w:eastAsia="仿宋" w:cs="仿宋_GB2312"/>
                <w:b/>
                <w:sz w:val="28"/>
                <w:szCs w:val="28"/>
                <w:lang w:bidi="ar"/>
              </w:rPr>
              <w:t>姓名</w:t>
            </w:r>
          </w:p>
        </w:tc>
        <w:tc>
          <w:tcPr>
            <w:tcW w:w="5670" w:type="dxa"/>
            <w:noWrap w:val="0"/>
            <w:vAlign w:val="center"/>
          </w:tcPr>
          <w:p w14:paraId="2A850305">
            <w:pPr>
              <w:jc w:val="center"/>
              <w:rPr>
                <w:rFonts w:ascii="仿宋" w:hAnsi="仿宋" w:eastAsia="仿宋" w:cs="仿宋"/>
                <w:b/>
                <w:bCs/>
                <w:sz w:val="28"/>
                <w:szCs w:val="28"/>
              </w:rPr>
            </w:pPr>
            <w:r>
              <w:rPr>
                <w:rFonts w:hint="eastAsia" w:ascii="仿宋" w:hAnsi="仿宋" w:eastAsia="仿宋" w:cs="仿宋_GB2312"/>
                <w:b/>
                <w:sz w:val="28"/>
                <w:szCs w:val="28"/>
                <w:lang w:bidi="ar"/>
              </w:rPr>
              <w:t>工作单位</w:t>
            </w:r>
          </w:p>
        </w:tc>
        <w:tc>
          <w:tcPr>
            <w:tcW w:w="2747" w:type="dxa"/>
            <w:noWrap w:val="0"/>
            <w:vAlign w:val="center"/>
          </w:tcPr>
          <w:p w14:paraId="2AC21FD9">
            <w:pPr>
              <w:jc w:val="center"/>
              <w:rPr>
                <w:rFonts w:hint="eastAsia" w:ascii="仿宋" w:hAnsi="仿宋" w:eastAsia="仿宋" w:cs="仿宋"/>
                <w:b/>
                <w:bCs/>
                <w:sz w:val="28"/>
                <w:szCs w:val="28"/>
              </w:rPr>
            </w:pPr>
            <w:r>
              <w:rPr>
                <w:rFonts w:hint="eastAsia" w:ascii="仿宋" w:hAnsi="仿宋" w:eastAsia="仿宋" w:cs="仿宋_GB2312"/>
                <w:b/>
                <w:sz w:val="28"/>
                <w:szCs w:val="28"/>
                <w:lang w:bidi="ar"/>
              </w:rPr>
              <w:t>职称</w:t>
            </w:r>
          </w:p>
        </w:tc>
        <w:tc>
          <w:tcPr>
            <w:tcW w:w="1597" w:type="dxa"/>
            <w:noWrap w:val="0"/>
            <w:vAlign w:val="center"/>
          </w:tcPr>
          <w:p w14:paraId="16B43853">
            <w:pPr>
              <w:jc w:val="center"/>
              <w:rPr>
                <w:rFonts w:ascii="仿宋" w:hAnsi="仿宋" w:eastAsia="仿宋" w:cs="仿宋"/>
                <w:b/>
                <w:bCs/>
                <w:sz w:val="28"/>
                <w:szCs w:val="28"/>
              </w:rPr>
            </w:pPr>
            <w:r>
              <w:rPr>
                <w:rFonts w:hint="eastAsia" w:ascii="仿宋" w:hAnsi="仿宋" w:eastAsia="仿宋" w:cs="仿宋_GB2312"/>
                <w:b/>
                <w:sz w:val="28"/>
                <w:szCs w:val="28"/>
                <w:lang w:bidi="ar"/>
              </w:rPr>
              <w:t>签字</w:t>
            </w:r>
          </w:p>
        </w:tc>
      </w:tr>
      <w:tr w14:paraId="331D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1" w:type="dxa"/>
            <w:noWrap w:val="0"/>
            <w:vAlign w:val="center"/>
          </w:tcPr>
          <w:p w14:paraId="2F4A3090">
            <w:pPr>
              <w:jc w:val="center"/>
              <w:rPr>
                <w:rFonts w:ascii="仿宋" w:hAnsi="仿宋" w:eastAsia="仿宋" w:cs="仿宋"/>
                <w:b/>
                <w:bCs/>
                <w:sz w:val="28"/>
                <w:szCs w:val="28"/>
              </w:rPr>
            </w:pPr>
            <w:r>
              <w:rPr>
                <w:rFonts w:hint="eastAsia" w:ascii="仿宋" w:hAnsi="仿宋" w:eastAsia="仿宋"/>
                <w:sz w:val="28"/>
                <w:szCs w:val="28"/>
              </w:rPr>
              <w:t>1</w:t>
            </w:r>
          </w:p>
        </w:tc>
        <w:tc>
          <w:tcPr>
            <w:tcW w:w="1843" w:type="dxa"/>
            <w:noWrap w:val="0"/>
            <w:vAlign w:val="center"/>
          </w:tcPr>
          <w:p w14:paraId="75C24F2A">
            <w:pPr>
              <w:jc w:val="center"/>
              <w:rPr>
                <w:rFonts w:ascii="仿宋" w:hAnsi="仿宋" w:eastAsia="仿宋" w:cs="仿宋"/>
                <w:b/>
                <w:bCs/>
                <w:sz w:val="28"/>
                <w:szCs w:val="28"/>
              </w:rPr>
            </w:pPr>
            <w:r>
              <w:rPr>
                <w:rFonts w:hint="eastAsia" w:ascii="仿宋" w:hAnsi="仿宋" w:eastAsia="仿宋"/>
                <w:sz w:val="28"/>
                <w:szCs w:val="28"/>
              </w:rPr>
              <w:t>主审专家</w:t>
            </w:r>
          </w:p>
        </w:tc>
        <w:tc>
          <w:tcPr>
            <w:tcW w:w="1276" w:type="dxa"/>
            <w:noWrap w:val="0"/>
            <w:vAlign w:val="center"/>
          </w:tcPr>
          <w:p w14:paraId="0B3884CC">
            <w:pPr>
              <w:jc w:val="center"/>
              <w:rPr>
                <w:rFonts w:ascii="仿宋" w:hAnsi="仿宋" w:eastAsia="仿宋" w:cs="仿宋"/>
                <w:b/>
                <w:bCs/>
                <w:sz w:val="28"/>
                <w:szCs w:val="28"/>
              </w:rPr>
            </w:pPr>
            <w:r>
              <w:rPr>
                <w:rFonts w:hint="eastAsia" w:ascii="仿宋" w:hAnsi="仿宋" w:eastAsia="仿宋"/>
                <w:sz w:val="28"/>
                <w:szCs w:val="28"/>
              </w:rPr>
              <w:t>吴春伟</w:t>
            </w:r>
          </w:p>
        </w:tc>
        <w:tc>
          <w:tcPr>
            <w:tcW w:w="5670" w:type="dxa"/>
            <w:noWrap w:val="0"/>
            <w:vAlign w:val="center"/>
          </w:tcPr>
          <w:p w14:paraId="6FA13B54">
            <w:pPr>
              <w:jc w:val="center"/>
              <w:rPr>
                <w:rFonts w:hint="eastAsia" w:ascii="仿宋" w:hAnsi="仿宋" w:eastAsia="仿宋" w:cs="仿宋"/>
                <w:b/>
                <w:bCs/>
                <w:sz w:val="28"/>
                <w:szCs w:val="28"/>
              </w:rPr>
            </w:pPr>
            <w:r>
              <w:rPr>
                <w:rFonts w:hint="eastAsia" w:ascii="仿宋" w:hAnsi="仿宋" w:eastAsia="仿宋" w:cs="仿宋_GB2312"/>
                <w:sz w:val="28"/>
                <w:szCs w:val="28"/>
                <w:lang w:bidi="ar"/>
              </w:rPr>
              <w:t>新疆维吾尔自治区地质局巴音郭楞地质大队</w:t>
            </w:r>
          </w:p>
        </w:tc>
        <w:tc>
          <w:tcPr>
            <w:tcW w:w="2747" w:type="dxa"/>
            <w:noWrap w:val="0"/>
            <w:vAlign w:val="center"/>
          </w:tcPr>
          <w:p w14:paraId="0BB56262">
            <w:pPr>
              <w:jc w:val="center"/>
              <w:rPr>
                <w:rFonts w:hint="eastAsia" w:ascii="仿宋" w:hAnsi="仿宋" w:eastAsia="仿宋" w:cs="仿宋"/>
                <w:b/>
                <w:bCs/>
                <w:sz w:val="28"/>
                <w:szCs w:val="28"/>
              </w:rPr>
            </w:pPr>
            <w:r>
              <w:rPr>
                <w:rFonts w:hint="eastAsia" w:ascii="仿宋" w:hAnsi="仿宋" w:eastAsia="仿宋" w:cs="仿宋_GB2312"/>
                <w:sz w:val="28"/>
                <w:szCs w:val="28"/>
                <w:lang w:bidi="ar"/>
              </w:rPr>
              <w:t>地质矿产高级工程师</w:t>
            </w:r>
          </w:p>
        </w:tc>
        <w:tc>
          <w:tcPr>
            <w:tcW w:w="1597" w:type="dxa"/>
            <w:noWrap w:val="0"/>
            <w:vAlign w:val="center"/>
          </w:tcPr>
          <w:p w14:paraId="7CF2C889">
            <w:pPr>
              <w:jc w:val="center"/>
              <w:rPr>
                <w:rFonts w:hint="eastAsia" w:ascii="仿宋" w:hAnsi="仿宋" w:eastAsia="仿宋" w:cs="仿宋"/>
                <w:b/>
                <w:bCs/>
                <w:sz w:val="28"/>
                <w:szCs w:val="28"/>
              </w:rPr>
            </w:pPr>
            <w:r>
              <w:rPr>
                <w:rFonts w:hint="eastAsia" w:ascii="仿宋" w:hAnsi="仿宋" w:eastAsia="仿宋" w:cs="仿宋"/>
                <w:b/>
                <w:bCs/>
                <w:sz w:val="28"/>
                <w:szCs w:val="28"/>
              </w:rPr>
              <w:drawing>
                <wp:inline distT="0" distB="0" distL="114300" distR="114300">
                  <wp:extent cx="815340" cy="337820"/>
                  <wp:effectExtent l="0" t="0" r="3810" b="5080"/>
                  <wp:docPr id="2" name="图片 1" descr="吴春伟签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吴春伟签名2"/>
                          <pic:cNvPicPr>
                            <a:picLocks noChangeAspect="1"/>
                          </pic:cNvPicPr>
                        </pic:nvPicPr>
                        <pic:blipFill>
                          <a:blip r:embed="rId5"/>
                          <a:stretch>
                            <a:fillRect/>
                          </a:stretch>
                        </pic:blipFill>
                        <pic:spPr>
                          <a:xfrm>
                            <a:off x="0" y="0"/>
                            <a:ext cx="815340" cy="337820"/>
                          </a:xfrm>
                          <a:prstGeom prst="rect">
                            <a:avLst/>
                          </a:prstGeom>
                          <a:noFill/>
                          <a:ln>
                            <a:noFill/>
                          </a:ln>
                        </pic:spPr>
                      </pic:pic>
                    </a:graphicData>
                  </a:graphic>
                </wp:inline>
              </w:drawing>
            </w:r>
          </w:p>
        </w:tc>
      </w:tr>
      <w:tr w14:paraId="6765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1" w:type="dxa"/>
            <w:noWrap w:val="0"/>
            <w:vAlign w:val="center"/>
          </w:tcPr>
          <w:p w14:paraId="5F50BDAA">
            <w:pPr>
              <w:jc w:val="center"/>
              <w:rPr>
                <w:rFonts w:ascii="仿宋" w:hAnsi="仿宋" w:eastAsia="仿宋" w:cs="仿宋"/>
                <w:b/>
                <w:bCs/>
                <w:sz w:val="28"/>
                <w:szCs w:val="28"/>
              </w:rPr>
            </w:pPr>
            <w:r>
              <w:rPr>
                <w:rFonts w:hint="eastAsia" w:ascii="仿宋" w:hAnsi="仿宋" w:eastAsia="仿宋"/>
                <w:sz w:val="28"/>
                <w:szCs w:val="28"/>
              </w:rPr>
              <w:t>2</w:t>
            </w:r>
          </w:p>
        </w:tc>
        <w:tc>
          <w:tcPr>
            <w:tcW w:w="1843" w:type="dxa"/>
            <w:noWrap w:val="0"/>
            <w:vAlign w:val="center"/>
          </w:tcPr>
          <w:p w14:paraId="5ED608B5">
            <w:pPr>
              <w:jc w:val="center"/>
              <w:rPr>
                <w:rFonts w:ascii="仿宋" w:hAnsi="仿宋" w:eastAsia="仿宋" w:cs="仿宋"/>
                <w:b/>
                <w:bCs/>
                <w:sz w:val="28"/>
                <w:szCs w:val="28"/>
              </w:rPr>
            </w:pPr>
            <w:r>
              <w:rPr>
                <w:rFonts w:hint="eastAsia" w:ascii="仿宋" w:hAnsi="仿宋" w:eastAsia="仿宋" w:cs="仿宋_GB2312"/>
                <w:sz w:val="28"/>
                <w:szCs w:val="28"/>
                <w:lang w:bidi="ar"/>
              </w:rPr>
              <w:t>审查专家</w:t>
            </w:r>
          </w:p>
        </w:tc>
        <w:tc>
          <w:tcPr>
            <w:tcW w:w="1276" w:type="dxa"/>
            <w:noWrap w:val="0"/>
            <w:vAlign w:val="center"/>
          </w:tcPr>
          <w:p w14:paraId="4085040B">
            <w:pPr>
              <w:jc w:val="center"/>
              <w:rPr>
                <w:rFonts w:ascii="仿宋" w:hAnsi="仿宋" w:eastAsia="仿宋" w:cs="仿宋"/>
                <w:b/>
                <w:bCs/>
                <w:sz w:val="28"/>
                <w:szCs w:val="28"/>
              </w:rPr>
            </w:pPr>
            <w:r>
              <w:rPr>
                <w:rFonts w:hint="eastAsia" w:ascii="仿宋" w:hAnsi="仿宋" w:eastAsia="仿宋"/>
                <w:sz w:val="28"/>
                <w:szCs w:val="28"/>
              </w:rPr>
              <w:t>蒋显忠</w:t>
            </w:r>
          </w:p>
        </w:tc>
        <w:tc>
          <w:tcPr>
            <w:tcW w:w="5670" w:type="dxa"/>
            <w:noWrap w:val="0"/>
            <w:vAlign w:val="center"/>
          </w:tcPr>
          <w:p w14:paraId="63A6B87A">
            <w:pPr>
              <w:jc w:val="center"/>
              <w:rPr>
                <w:rFonts w:hint="eastAsia" w:ascii="仿宋" w:hAnsi="仿宋" w:eastAsia="仿宋" w:cs="仿宋"/>
                <w:b/>
                <w:bCs/>
                <w:sz w:val="28"/>
                <w:szCs w:val="28"/>
              </w:rPr>
            </w:pPr>
            <w:r>
              <w:rPr>
                <w:rFonts w:hint="eastAsia" w:ascii="仿宋" w:hAnsi="仿宋" w:eastAsia="仿宋" w:cs="仿宋_GB2312"/>
                <w:sz w:val="28"/>
                <w:szCs w:val="28"/>
                <w:lang w:bidi="ar"/>
              </w:rPr>
              <w:t>新疆地矿局第一水文工程地质大队</w:t>
            </w:r>
          </w:p>
        </w:tc>
        <w:tc>
          <w:tcPr>
            <w:tcW w:w="2747" w:type="dxa"/>
            <w:noWrap w:val="0"/>
            <w:vAlign w:val="center"/>
          </w:tcPr>
          <w:p w14:paraId="0C0114FA">
            <w:pPr>
              <w:jc w:val="center"/>
              <w:rPr>
                <w:rFonts w:hint="eastAsia" w:ascii="仿宋" w:hAnsi="仿宋" w:eastAsia="仿宋" w:cs="仿宋"/>
                <w:b/>
                <w:bCs/>
                <w:sz w:val="28"/>
                <w:szCs w:val="28"/>
              </w:rPr>
            </w:pPr>
            <w:r>
              <w:rPr>
                <w:rFonts w:hint="eastAsia" w:ascii="仿宋" w:hAnsi="仿宋" w:eastAsia="仿宋" w:cs="仿宋_GB2312"/>
                <w:sz w:val="28"/>
                <w:szCs w:val="28"/>
                <w:lang w:bidi="ar"/>
              </w:rPr>
              <w:t>水工环高级工程师</w:t>
            </w:r>
          </w:p>
        </w:tc>
        <w:tc>
          <w:tcPr>
            <w:tcW w:w="1597" w:type="dxa"/>
            <w:noWrap w:val="0"/>
            <w:vAlign w:val="center"/>
          </w:tcPr>
          <w:p w14:paraId="604B85B1">
            <w:pPr>
              <w:jc w:val="center"/>
              <w:rPr>
                <w:rFonts w:hint="eastAsia" w:ascii="仿宋" w:hAnsi="仿宋" w:eastAsia="仿宋" w:cs="仿宋"/>
                <w:bCs/>
                <w:sz w:val="28"/>
                <w:szCs w:val="28"/>
              </w:rPr>
            </w:pPr>
            <w:r>
              <w:rPr>
                <w:rFonts w:hint="eastAsia" w:ascii="仿宋" w:hAnsi="仿宋" w:eastAsia="仿宋" w:cs="仿宋"/>
                <w:sz w:val="24"/>
              </w:rPr>
              <w:drawing>
                <wp:inline distT="0" distB="0" distL="114300" distR="114300">
                  <wp:extent cx="876300" cy="565785"/>
                  <wp:effectExtent l="0" t="0" r="0" b="0"/>
                  <wp:docPr id="1" name="图片 2" descr="蒋显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蒋显忠1"/>
                          <pic:cNvPicPr>
                            <a:picLocks noChangeAspect="1"/>
                          </pic:cNvPicPr>
                        </pic:nvPicPr>
                        <pic:blipFill>
                          <a:blip r:embed="rId6"/>
                          <a:stretch>
                            <a:fillRect/>
                          </a:stretch>
                        </pic:blipFill>
                        <pic:spPr>
                          <a:xfrm>
                            <a:off x="0" y="0"/>
                            <a:ext cx="876300" cy="565785"/>
                          </a:xfrm>
                          <a:prstGeom prst="rect">
                            <a:avLst/>
                          </a:prstGeom>
                          <a:noFill/>
                          <a:ln>
                            <a:noFill/>
                          </a:ln>
                        </pic:spPr>
                      </pic:pic>
                    </a:graphicData>
                  </a:graphic>
                </wp:inline>
              </w:drawing>
            </w:r>
          </w:p>
        </w:tc>
      </w:tr>
      <w:tr w14:paraId="093E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1" w:type="dxa"/>
            <w:noWrap w:val="0"/>
            <w:vAlign w:val="center"/>
          </w:tcPr>
          <w:p w14:paraId="2241695C">
            <w:pPr>
              <w:jc w:val="center"/>
              <w:rPr>
                <w:rFonts w:ascii="仿宋" w:hAnsi="仿宋" w:eastAsia="仿宋" w:cs="仿宋"/>
                <w:b/>
                <w:bCs/>
                <w:sz w:val="28"/>
                <w:szCs w:val="28"/>
              </w:rPr>
            </w:pPr>
            <w:r>
              <w:rPr>
                <w:rFonts w:hint="eastAsia" w:ascii="仿宋" w:hAnsi="仿宋" w:eastAsia="仿宋"/>
                <w:sz w:val="28"/>
                <w:szCs w:val="28"/>
              </w:rPr>
              <w:t>3</w:t>
            </w:r>
          </w:p>
        </w:tc>
        <w:tc>
          <w:tcPr>
            <w:tcW w:w="1843" w:type="dxa"/>
            <w:noWrap w:val="0"/>
            <w:vAlign w:val="center"/>
          </w:tcPr>
          <w:p w14:paraId="3633BD8E">
            <w:pPr>
              <w:jc w:val="center"/>
              <w:rPr>
                <w:rFonts w:hint="eastAsia" w:ascii="仿宋" w:hAnsi="仿宋" w:eastAsia="仿宋" w:cs="仿宋"/>
                <w:b/>
                <w:bCs/>
                <w:sz w:val="28"/>
                <w:szCs w:val="28"/>
              </w:rPr>
            </w:pPr>
            <w:r>
              <w:rPr>
                <w:rFonts w:hint="eastAsia" w:ascii="仿宋" w:hAnsi="仿宋" w:eastAsia="仿宋" w:cs="仿宋_GB2312"/>
                <w:sz w:val="28"/>
                <w:szCs w:val="28"/>
                <w:lang w:bidi="ar"/>
              </w:rPr>
              <w:t>审查专家</w:t>
            </w:r>
          </w:p>
        </w:tc>
        <w:tc>
          <w:tcPr>
            <w:tcW w:w="1276" w:type="dxa"/>
            <w:noWrap w:val="0"/>
            <w:vAlign w:val="center"/>
          </w:tcPr>
          <w:p w14:paraId="5DF2AF9C">
            <w:pPr>
              <w:jc w:val="center"/>
              <w:rPr>
                <w:rFonts w:ascii="仿宋" w:hAnsi="仿宋" w:eastAsia="仿宋" w:cs="仿宋"/>
                <w:b/>
                <w:bCs/>
                <w:sz w:val="28"/>
                <w:szCs w:val="28"/>
              </w:rPr>
            </w:pPr>
            <w:r>
              <w:rPr>
                <w:rFonts w:hint="eastAsia" w:ascii="仿宋" w:hAnsi="仿宋" w:eastAsia="仿宋"/>
                <w:sz w:val="28"/>
                <w:szCs w:val="28"/>
              </w:rPr>
              <w:t>苏  潇</w:t>
            </w:r>
          </w:p>
        </w:tc>
        <w:tc>
          <w:tcPr>
            <w:tcW w:w="5670" w:type="dxa"/>
            <w:noWrap w:val="0"/>
            <w:vAlign w:val="center"/>
          </w:tcPr>
          <w:p w14:paraId="6061D988">
            <w:pPr>
              <w:jc w:val="center"/>
              <w:rPr>
                <w:rFonts w:hint="eastAsia" w:ascii="仿宋" w:hAnsi="仿宋" w:eastAsia="仿宋" w:cs="仿宋"/>
                <w:b/>
                <w:bCs/>
                <w:sz w:val="28"/>
                <w:szCs w:val="28"/>
              </w:rPr>
            </w:pPr>
            <w:r>
              <w:rPr>
                <w:rFonts w:hint="eastAsia" w:ascii="仿宋" w:hAnsi="仿宋" w:eastAsia="仿宋" w:cs="仿宋_GB2312"/>
                <w:sz w:val="28"/>
                <w:szCs w:val="28"/>
                <w:lang w:bidi="ar"/>
              </w:rPr>
              <w:t>新疆地质环境监测院</w:t>
            </w:r>
          </w:p>
        </w:tc>
        <w:tc>
          <w:tcPr>
            <w:tcW w:w="2747" w:type="dxa"/>
            <w:noWrap w:val="0"/>
            <w:vAlign w:val="center"/>
          </w:tcPr>
          <w:p w14:paraId="2E88D5BB">
            <w:pPr>
              <w:jc w:val="center"/>
              <w:rPr>
                <w:rFonts w:hint="eastAsia" w:ascii="仿宋" w:hAnsi="仿宋" w:eastAsia="仿宋" w:cs="仿宋"/>
                <w:b/>
                <w:bCs/>
                <w:sz w:val="28"/>
                <w:szCs w:val="28"/>
              </w:rPr>
            </w:pPr>
            <w:r>
              <w:rPr>
                <w:rFonts w:hint="eastAsia" w:ascii="仿宋" w:hAnsi="仿宋" w:eastAsia="仿宋" w:cs="仿宋_GB2312"/>
                <w:sz w:val="28"/>
                <w:szCs w:val="28"/>
                <w:lang w:bidi="ar"/>
              </w:rPr>
              <w:t>水工环高级工程师</w:t>
            </w:r>
          </w:p>
        </w:tc>
        <w:tc>
          <w:tcPr>
            <w:tcW w:w="1597" w:type="dxa"/>
            <w:noWrap w:val="0"/>
            <w:vAlign w:val="center"/>
          </w:tcPr>
          <w:p w14:paraId="547A5098">
            <w:pPr>
              <w:jc w:val="center"/>
              <w:rPr>
                <w:rFonts w:hint="eastAsia" w:ascii="仿宋" w:hAnsi="仿宋" w:eastAsia="仿宋" w:cs="仿宋"/>
                <w:b/>
                <w:bCs/>
                <w:sz w:val="28"/>
                <w:szCs w:val="28"/>
              </w:rPr>
            </w:pPr>
            <w:r>
              <w:rPr>
                <w:rFonts w:ascii="仿宋" w:hAnsi="仿宋" w:eastAsia="仿宋" w:cs="仿宋"/>
                <w:b/>
                <w:bCs/>
                <w:sz w:val="28"/>
                <w:szCs w:val="28"/>
              </w:rPr>
              <w:drawing>
                <wp:inline distT="0" distB="0" distL="114300" distR="114300">
                  <wp:extent cx="474980" cy="436880"/>
                  <wp:effectExtent l="0" t="0" r="1270" b="1270"/>
                  <wp:docPr id="3" name="图片 3" descr="fa2d26ac61da66cbdcc2bdb85b7e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2d26ac61da66cbdcc2bdb85b7e3c1"/>
                          <pic:cNvPicPr>
                            <a:picLocks noChangeAspect="1"/>
                          </pic:cNvPicPr>
                        </pic:nvPicPr>
                        <pic:blipFill>
                          <a:blip r:embed="rId7"/>
                          <a:stretch>
                            <a:fillRect/>
                          </a:stretch>
                        </pic:blipFill>
                        <pic:spPr>
                          <a:xfrm>
                            <a:off x="0" y="0"/>
                            <a:ext cx="474980" cy="436880"/>
                          </a:xfrm>
                          <a:prstGeom prst="rect">
                            <a:avLst/>
                          </a:prstGeom>
                          <a:noFill/>
                          <a:ln>
                            <a:noFill/>
                          </a:ln>
                        </pic:spPr>
                      </pic:pic>
                    </a:graphicData>
                  </a:graphic>
                </wp:inline>
              </w:drawing>
            </w:r>
          </w:p>
        </w:tc>
      </w:tr>
    </w:tbl>
    <w:p w14:paraId="36F59017">
      <w:pPr>
        <w:pStyle w:val="4"/>
        <w:ind w:firstLine="0"/>
        <w:rPr>
          <w:rFonts w:hint="eastAsia" w:ascii="宋体" w:hAnsi="宋体" w:eastAsia="宋体" w:cs="宋体"/>
          <w:spacing w:val="-9"/>
          <w:sz w:val="28"/>
          <w:szCs w:val="28"/>
        </w:rPr>
      </w:pPr>
    </w:p>
    <w:p w14:paraId="642C446B">
      <w:bookmarkStart w:id="7" w:name="_GoBack"/>
      <w:bookmarkEnd w:id="7"/>
    </w:p>
    <w:sectPr>
      <w:pgSz w:w="16838" w:h="11906" w:orient="landscape"/>
      <w:pgMar w:top="1701" w:right="1134"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2CAD">
    <w:pPr>
      <w:pStyle w:val="2"/>
      <w:jc w:val="center"/>
    </w:pPr>
    <w:r>
      <w:fldChar w:fldCharType="begin"/>
    </w:r>
    <w:r>
      <w:instrText xml:space="preserve">PAGE   \* MERGEFORMAT</w:instrText>
    </w:r>
    <w:r>
      <w:fldChar w:fldCharType="separate"/>
    </w:r>
    <w:r>
      <w:rPr>
        <w:lang w:val="zh-CN"/>
      </w:rPr>
      <w:t>6</w:t>
    </w:r>
    <w:r>
      <w:fldChar w:fldCharType="end"/>
    </w:r>
  </w:p>
  <w:p w14:paraId="270C369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1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List Continue 4"/>
    <w:basedOn w:val="1"/>
    <w:next w:val="1"/>
    <w:qFormat/>
    <w:uiPriority w:val="0"/>
    <w:pPr>
      <w:widowControl w:val="0"/>
      <w:autoSpaceDE/>
      <w:autoSpaceDN/>
      <w:spacing w:before="0" w:after="120" w:line="360" w:lineRule="auto"/>
      <w:ind w:left="1680" w:firstLine="480"/>
      <w:jc w:val="both"/>
    </w:pPr>
    <w:rPr>
      <w:rFonts w:ascii="宋体" w:eastAsia="宋体"/>
      <w:sz w:val="24"/>
    </w:rPr>
  </w:style>
  <w:style w:type="paragraph" w:styleId="4">
    <w:name w:val="Body Text First Indent 2"/>
    <w:basedOn w:val="1"/>
    <w:next w:val="3"/>
    <w:unhideWhenUsed/>
    <w:qFormat/>
    <w:uiPriority w:val="99"/>
    <w:pPr>
      <w:widowControl/>
      <w:spacing w:line="240" w:lineRule="auto"/>
      <w:ind w:firstLine="420"/>
      <w:jc w:val="left"/>
    </w:pPr>
    <w:rPr>
      <w:kern w:val="0"/>
      <w:sz w:val="24"/>
      <w:szCs w:val="24"/>
    </w:rPr>
  </w:style>
  <w:style w:type="character" w:styleId="7">
    <w:name w:val="page number"/>
    <w:qFormat/>
    <w:uiPriority w:val="0"/>
  </w:style>
  <w:style w:type="paragraph" w:customStyle="1" w:styleId="8">
    <w:name w:val="！正文"/>
    <w:basedOn w:val="1"/>
    <w:qFormat/>
    <w:uiPriority w:val="0"/>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2024-12-12T08:00:10Z</dcterms:created>
  <dc:creator>Administrator</dc:creator>
  <cp:lastModifiedBy>Administrator</cp:lastModifiedBy>
  <dcterms:modified xsi:type="dcterms:W3CDTF">2024-12-12T08:00:33Z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6122B3A08D9140F7AE9D86824B47A190_12</vt:lpwstr>
  </property>
</Properties>
</file>