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bookmarkStart w:id="0" w:name="_Toc20201"/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县农业农村局党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书记</w:t>
      </w:r>
      <w:r>
        <w:rPr>
          <w:rFonts w:hint="eastAsia" w:eastAsia="方正楷体_GBK" w:cs="方正楷体_GBK"/>
          <w:sz w:val="32"/>
          <w:szCs w:val="32"/>
          <w:lang w:eastAsia="zh-CN"/>
        </w:rPr>
        <w:t>、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副局长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  尹清勇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根据工作要求，现述法如下：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方正黑体_GBK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Times New Roman"/>
          <w:sz w:val="31"/>
          <w:szCs w:val="31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（一）认真学习贯彻习近平法治思想。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认真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贯彻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落实习近平法治思想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加大宪法、党内法规及农业农村相关的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法律法规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学习、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宣传力度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，自觉坚持用法治思维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武装</w:t>
      </w:r>
      <w:r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  <w:t>头脑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；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模范遵守宪法法律，坚持运用法治思维和法治方式开展工作，以模范行动推动形成办事依法、遇事找法、解决问题用法、化解矛盾靠法的法治氛围和法治环境。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（二）履行法治建设第一责任人职责。</w:t>
      </w:r>
      <w:r>
        <w:rPr>
          <w:rFonts w:hint="default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加强领导，对单位法治建设重要工作亲自部署、过问、协调，把法治建设工作纳入党组议事日程。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二是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坚持民主集中推动依法决策。涉及单位全局性的重大事项、重大决策，严格按照流程，由党委班子成员集体讨论、研究、决策；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三是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贯彻落实焉耆县“一规划两纲要”具体措施，并研究制定了本单位推进法治建设主要任务和具体措施。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四是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加大整改落实力度。严格落实自治区、自治州、自治县法治督察任务，针对反馈问题，积极进行整改。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五是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重视述法工作。单位主要领导书面述法，依据责任清单，列出问题清单并认真整改。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六是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加强规范性文件管理。严格落实《新疆维吾尔自治区行政规范性文件管理办法》规定，扎实开展规范性文件清理工作，加强规范性文件制定和备案管理。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七是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严格执法，加大涉及农产品质量安全领域执法力度，强化日常监管，开展专项治理，严厉查处违法案件。</w:t>
      </w:r>
      <w:r>
        <w:rPr>
          <w:rFonts w:hint="eastAsia" w:hAnsi="方正仿宋_GBK" w:eastAsia="方正仿宋_GBK" w:cs="Times New Roman"/>
          <w:sz w:val="31"/>
          <w:szCs w:val="31"/>
          <w:lang w:val="en-US" w:eastAsia="zh-CN"/>
        </w:rPr>
        <w:t>2023年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共查处各类农业违法案件90起。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八是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认真落实“谁执法谁普法”普法责任制，培育农村学法用法示范户46户，开展多种形式普法宣传活动，实现了普法责任清单全覆盖。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default" w:ascii="方正黑体_GBK" w:hAnsi="方正黑体_GBK" w:eastAsia="方正黑体_GBK" w:cs="Times New Roman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Times New Roman"/>
          <w:sz w:val="31"/>
          <w:szCs w:val="31"/>
          <w:lang w:val="en-US" w:eastAsia="zh-CN"/>
        </w:rPr>
        <w:t>二、</w:t>
      </w:r>
      <w:bookmarkStart w:id="1" w:name="_GoBack"/>
      <w:bookmarkEnd w:id="1"/>
      <w:r>
        <w:rPr>
          <w:rFonts w:hint="eastAsia" w:ascii="方正黑体_GBK" w:hAnsi="方正黑体_GBK" w:eastAsia="方正黑体_GBK" w:cs="Times New Roman"/>
          <w:sz w:val="31"/>
          <w:szCs w:val="31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（一）加大法律法规培训力度，提升执法人员素质。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制定并落实干部职工年度学法计划，落实普法教育，切实提高全局干部守法用法能力，持续开展执法人员专业性法律法规培训，提升业务水平。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（二）开展好农村学法用法示范户的培育工作。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根据农业部农村学法用法示范户培育工作相关文件精神，全面落实普法工作任务，切实带动农民群众尊法学法守法用法，提升农民群众法治素养。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（三）进一步完善行政执法工作制度。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切实规范执法程序，强化执法人员责任担当，树立底线思维，不断提升执法水平。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Times New Roman"/>
          <w:sz w:val="31"/>
          <w:szCs w:val="31"/>
          <w:lang w:val="en-US" w:eastAsia="zh-CN"/>
        </w:rPr>
        <w:t>（四）加强农业法治以及诚信教育宣传工作。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利用新型职业农民培训、基层农业技术推广和重点节日宣传活动等途径，开展好“法律进乡村”以及诚信教育宣传力度。同时，广泛开展宣传，扩大宣传覆盖面和影响力，促进广大群众、农资生产经营主体和农产品生产企业法律意识和诚信文化素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53EF3F2B"/>
    <w:rsid w:val="53E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2024-03-18T08:31:00Z</dcterms:created>
  <dc:creator>Administrator</dc:creator>
  <cp:lastModifiedBy>Administrator</cp:lastModifiedBy>
  <dcterms:modified xsi:type="dcterms:W3CDTF">2024-03-18T08:31:39Z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4D033DAD424F4976B5188E20A0B29B09_11</vt:lpwstr>
  </property>
</Properties>
</file>