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bookmarkStart w:id="0" w:name="_Toc27156"/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县公安局党委副书记、政委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李军委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根据工作要求，现述法如下：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（一）带头学习贯彻习近平法治思想。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坚持用习近平法治思想武装头脑、指导实践、推动工作，带头做习近平法治思想的坚定信仰者、积极传播者、模范实践者，带领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全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局民辅警深刻领会习近平法治思想的核心要义、精神实质、丰富内涵，在多思多想、学深学透上下功夫，在系统把握、融会贯通上下功夫，在学以致用、知行合一上下功夫，切实把习近平法治思想贯彻落实到工作中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2023年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召开工作例会11场、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召开执法监督管理委员会9场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开展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法治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大讲堂22场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执法培训10场、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法治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夜校4场、典型案例教学5次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学法用法考试10场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（二）聚焦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主责主业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，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建设法治公安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。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始终将深入推进法治公安建设，作为维护社会稳定的重要落脚点，突出实战实效，紧盯严打攻坚、案件侦办、公共安全管理、处置突发事件和矛盾纠纷，细化制定办案指引，强化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执法考评的“指挥棒”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作用，量身定制、动态优化考核指标，让每个办案部门、办案民警都找准自己的尺子，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引领全警在法治轨道上履职尽责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2023年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侦破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危安个案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21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起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2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4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人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立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刑事案件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262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起、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破258起、受理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治安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案件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489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起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、办结452起，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2023年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以来办理案件均未发生执法过错问题。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（三）强化执法为民宗旨意识，不断增强人民群众获得感、幸福感、安全感。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2023年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以来全力推进“放管服”“一窗通办”服务事项，提高办事效能</w:t>
      </w:r>
      <w:r>
        <w:rPr>
          <w:rFonts w:hint="default" w:ascii="Times New Roman" w:hAnsi="方正仿宋_GBK" w:eastAsia="方正仿宋_GBK" w:cs="Times New Roman"/>
          <w:color w:val="auto"/>
          <w:sz w:val="31"/>
          <w:szCs w:val="31"/>
          <w:lang w:val="en-US" w:eastAsia="zh-CN"/>
        </w:rPr>
        <w:t>、精简办事流程、优化办事程序，推出“我为群众办实事”便民利民措施88项、互联网+政务服务等项目；</w:t>
      </w:r>
      <w:r>
        <w:rPr>
          <w:rFonts w:hint="default" w:ascii="Times New Roman" w:hAnsi="方正仿宋_GBK" w:eastAsia="方正仿宋_GBK" w:cs="Times New Roman"/>
          <w:color w:val="auto"/>
          <w:sz w:val="31"/>
          <w:szCs w:val="31"/>
        </w:rPr>
        <w:t>主动回应群众关切，强力整治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执法不作为、慢作为、乱作为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等行为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对办案拖拉、受案不及时、推诿扯皮等问题，严格执行“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四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个一律”规定，倒逼责任落实，督促问题整改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2023年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以来没有发生群众涉法涉诉的情况，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让群众在每起案件中都感受到公平正义。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同时，依托大清查、入户释法等方式开展多元化普法宣传，切实增强人民群众获得感、幸福感、安全感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2023年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开展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普法宣传567场次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发放各类宣传资料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3.3万余份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受教群众达8万余人。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  <w:t>二、</w:t>
      </w:r>
      <w:bookmarkStart w:id="1" w:name="_GoBack"/>
      <w:bookmarkEnd w:id="1"/>
      <w:r>
        <w:rPr>
          <w:rFonts w:hint="default" w:ascii="Times New Roman" w:hAnsi="方正黑体_GBK" w:eastAsia="方正黑体_GBK" w:cs="Times New Roman"/>
          <w:sz w:val="31"/>
          <w:szCs w:val="31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（一）不断强化专职</w:t>
      </w:r>
      <w:r>
        <w:rPr>
          <w:rFonts w:hint="eastAsia" w:hAnsi="方正楷体_GBK" w:eastAsia="方正楷体_GBK" w:cs="Times New Roman"/>
          <w:sz w:val="31"/>
          <w:szCs w:val="31"/>
          <w:lang w:val="en-US" w:eastAsia="zh-CN"/>
        </w:rPr>
        <w:t>法治</w:t>
      </w: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员职能作用。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充分依托派出所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法治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员案件评查机制，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加强日常警情、个案审核、办案场所监督管理，紧盯执法活动各个环节，全程跟踪执法实践，重点对强制措施的办理、网上办案和案件信息录入、证据材料是否合法、法律法规适用是否准确等情况进行监督把关，防止出现执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（二）不断强化执法能力常态化培训。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结合当前执法工作面临的复杂形势，组织民警开展常态化执法培训，以强作风、重落实、提效能为导向，持续深入落实新时代公检法机关法律监督工作机制，组织公检法同堂培训，通过案例教学和“教科书式”执法培训等多种形式，不断提升民警规范执法执勤的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方正楷体_GBK" w:eastAsia="方正楷体_GBK" w:cs="Times New Roman"/>
          <w:sz w:val="31"/>
          <w:szCs w:val="31"/>
          <w:lang w:val="en-US" w:eastAsia="zh-CN"/>
        </w:rPr>
        <w:t>（三）不断强化全方位执法监督力度。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网下，加强执法监督工作的组织领导，突出重点、强化措施，立足岗位需要配齐配强执法监督力量，打造一支政治素养高、纪律作风硬的执法监督队伍。网上，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依托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信息化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系统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平台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，对接处警、受立案、案件办理、执法办案管理中心及执法办案区管理使用、涉案财物管理全流程开展常态化网上执法巡查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，切实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提升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全警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执法质效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1"/>
          <w:szCs w:val="31"/>
        </w:rPr>
        <w:t>办案水平</w:t>
      </w:r>
      <w:r>
        <w:rPr>
          <w:rFonts w:hint="default" w:ascii="Times New Roman" w:hAnsi="方正仿宋_GBK" w:eastAsia="方正仿宋_GBK" w:cs="Times New Roman"/>
          <w:sz w:val="31"/>
          <w:szCs w:val="3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65BF516B"/>
    <w:rsid w:val="65B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2024-03-18T08:26:00Z</dcterms:created>
  <dc:creator>Administrator</dc:creator>
  <cp:lastModifiedBy>Administrator</cp:lastModifiedBy>
  <dcterms:modified xsi:type="dcterms:W3CDTF">2024-03-18T08:26:17Z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462ED881756E4901AEF1BEBE5FA4CC57_11</vt:lpwstr>
  </property>
</Properties>
</file>