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2023年度述法报告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center"/>
        <w:textAlignment w:val="auto"/>
        <w:outlineLvl w:val="0"/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</w:pPr>
      <w:bookmarkStart w:id="0" w:name="_Toc14467"/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县住建局</w:t>
      </w:r>
      <w:r>
        <w:rPr>
          <w:rFonts w:hint="eastAsia" w:hAnsi="方正楷体_GBK" w:eastAsia="方正楷体_GBK" w:cs="Times New Roman"/>
          <w:sz w:val="31"/>
          <w:szCs w:val="31"/>
          <w:lang w:val="en-US" w:eastAsia="zh-CN"/>
        </w:rPr>
        <w:t>党组书记、副局长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 xml:space="preserve">  陈博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根据工作要求，现述法如下：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20" w:firstLineChars="200"/>
        <w:jc w:val="both"/>
        <w:textAlignment w:val="auto"/>
        <w:rPr>
          <w:rFonts w:hint="default" w:ascii="Times New Roman" w:hAnsi="方正黑体_GBK" w:eastAsia="方正黑体_GBK" w:cs="Times New Roman"/>
          <w:kern w:val="2"/>
          <w:sz w:val="31"/>
          <w:szCs w:val="31"/>
          <w:lang w:val="en-US" w:eastAsia="zh-CN" w:bidi="ar-SA"/>
        </w:rPr>
      </w:pPr>
      <w:r>
        <w:rPr>
          <w:rFonts w:hint="default" w:ascii="Times New Roman" w:hAnsi="方正黑体_GBK" w:eastAsia="方正黑体_GBK" w:cs="Times New Roman"/>
          <w:kern w:val="2"/>
          <w:sz w:val="31"/>
          <w:szCs w:val="31"/>
          <w:lang w:val="en-US" w:eastAsia="zh-CN" w:bidi="ar-SA"/>
        </w:rPr>
        <w:t>一、</w:t>
      </w:r>
      <w:r>
        <w:rPr>
          <w:rFonts w:hint="eastAsia" w:ascii="Times New Roman" w:hAnsi="方正黑体_GBK" w:eastAsia="方正黑体_GBK" w:cs="Times New Roman"/>
          <w:kern w:val="2"/>
          <w:sz w:val="31"/>
          <w:szCs w:val="31"/>
          <w:lang w:val="en-US" w:eastAsia="zh-CN" w:bidi="ar-SA"/>
        </w:rPr>
        <w:t>履职</w:t>
      </w:r>
      <w:r>
        <w:rPr>
          <w:rFonts w:hint="default" w:ascii="Times New Roman" w:hAnsi="方正黑体_GBK" w:eastAsia="方正黑体_GBK" w:cs="Times New Roman"/>
          <w:kern w:val="2"/>
          <w:sz w:val="31"/>
          <w:szCs w:val="31"/>
          <w:lang w:val="en-US" w:eastAsia="zh-CN" w:bidi="ar-SA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20" w:firstLineChars="200"/>
        <w:jc w:val="left"/>
        <w:textAlignment w:val="auto"/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（一）认真</w:t>
      </w:r>
      <w:r>
        <w:rPr>
          <w:rFonts w:hint="default" w:ascii="方正仿宋_GBK" w:hAnsi="方正仿宋_GBK" w:eastAsia="方正仿宋_GBK" w:cs="方正仿宋_GBK"/>
          <w:sz w:val="31"/>
          <w:szCs w:val="31"/>
        </w:rPr>
        <w:t>履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职</w:t>
      </w: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，夯实法治基础。</w:t>
      </w:r>
      <w:r>
        <w:rPr>
          <w:rFonts w:hint="eastAsia" w:ascii="Times New Roman" w:hAnsi="方正仿宋_GBK" w:eastAsia="方正仿宋_GBK" w:cs="Times New Roman"/>
          <w:b/>
          <w:bCs/>
          <w:kern w:val="2"/>
          <w:sz w:val="31"/>
          <w:szCs w:val="31"/>
          <w:lang w:val="en-US" w:eastAsia="zh-CN" w:bidi="ar-SA"/>
        </w:rPr>
        <w:t>一是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健全完善理论学习中心组集体学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法</w:t>
      </w:r>
      <w:r>
        <w:rPr>
          <w:rFonts w:hint="eastAsia" w:hAnsi="方正仿宋_GBK" w:eastAsia="方正仿宋_GBK" w:cs="Times New Roman"/>
          <w:kern w:val="2"/>
          <w:sz w:val="31"/>
          <w:szCs w:val="31"/>
          <w:lang w:val="en-US" w:eastAsia="zh-CN" w:bidi="ar-SA"/>
        </w:rPr>
        <w:t>制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度，认真学习党内法规和法律法规，截止目前开展中心组学习18次，政治理论学习39次，参加自治区“法治讲堂、逢九必讲”法治培训30场余次。</w:t>
      </w:r>
      <w:r>
        <w:rPr>
          <w:rFonts w:hint="eastAsia" w:ascii="Times New Roman" w:hAnsi="方正仿宋_GBK" w:eastAsia="方正仿宋_GBK" w:cs="Times New Roman"/>
          <w:b/>
          <w:bCs/>
          <w:kern w:val="2"/>
          <w:sz w:val="31"/>
          <w:szCs w:val="31"/>
          <w:lang w:val="en-US" w:eastAsia="zh-CN" w:bidi="ar-SA"/>
        </w:rPr>
        <w:t>二是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强化法治培训，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利用每周五集中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政治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学习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培训会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，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重点学习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城市管理中的绿化、市政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、建筑施工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等与人民群众生产生活密切相关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和规范市场行为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的法律法规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，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促进领导干部行政执法能力的提高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。</w:t>
      </w:r>
      <w:r>
        <w:rPr>
          <w:rFonts w:hint="eastAsia" w:ascii="Times New Roman" w:hAnsi="方正仿宋_GBK" w:eastAsia="方正仿宋_GBK" w:cs="Times New Roman"/>
          <w:b/>
          <w:bCs/>
          <w:kern w:val="2"/>
          <w:sz w:val="31"/>
          <w:szCs w:val="31"/>
          <w:lang w:val="en-US" w:eastAsia="zh-CN" w:bidi="ar-SA"/>
        </w:rPr>
        <w:t>三是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规范行政许可，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全面深入地开展《行政许可法》的贯彻实施工作，实行各分承办、分管、主管领导共同审批的程序，全面推行“双随机、一公开”工作机制，加强事中事后监管，提高监管效能，扎实推进各项工作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（二）开展法治宣传，营造法治建设舆论氛围。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我局以城乡环境综合治理为契机，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走进社区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深入宣传与群众生产生活密切相关的城市管理法律法规，大力开展城市市容和环境卫生、城市园林绿化、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文明养犬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等相关法律法规及政策的宣传教育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。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利用全国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法治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宣传日等重点节日开展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法治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宣传活动，累计举办各种规模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法治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宣传活动3起，接受群众咨询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4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00余人次，发放宣传资料、手册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4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00余份。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（三）加强制度建设，推进法治建设。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我局根据城建工作的相关规定，深入推进行政执法责任制，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压实局属各部门法治建设职责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。加强对重大行政处罚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（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许可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）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决定的审查，推动规范执法、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法治建设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工作不断深入。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2023年围绕房屋市政工程、燃气企业、自建房等开展执法检查600余场次，下达整改通知书450余份，停工、停业通知书60余份，立案调查并处罚14起；核发施工许可67项；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清理整治流动摊点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320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余起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，指导焉耆镇、永宁镇打造便民集市3处，规范临时摊点摆放区2处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；对各小区楼顶私搭乱建行为查处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12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起，拆除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12</w:t>
      </w:r>
      <w:r>
        <w:rPr>
          <w:rFonts w:hint="default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20" w:firstLineChars="200"/>
        <w:jc w:val="left"/>
        <w:textAlignment w:val="auto"/>
        <w:rPr>
          <w:rFonts w:hint="default" w:ascii="Times New Roman" w:hAnsi="方正黑体_GBK" w:eastAsia="方正黑体_GBK" w:cs="Times New Roman"/>
          <w:kern w:val="2"/>
          <w:sz w:val="31"/>
          <w:szCs w:val="31"/>
          <w:lang w:val="en-US" w:eastAsia="zh-CN" w:bidi="ar-SA"/>
        </w:rPr>
      </w:pPr>
      <w:r>
        <w:rPr>
          <w:rFonts w:hint="default" w:ascii="Times New Roman" w:hAnsi="方正黑体_GBK" w:eastAsia="方正黑体_GBK" w:cs="Times New Roman"/>
          <w:kern w:val="2"/>
          <w:sz w:val="31"/>
          <w:szCs w:val="31"/>
          <w:lang w:val="en-US" w:eastAsia="zh-CN" w:bidi="ar-SA"/>
        </w:rPr>
        <w:t>二、</w:t>
      </w:r>
      <w:bookmarkStart w:id="1" w:name="_GoBack"/>
      <w:bookmarkEnd w:id="1"/>
      <w:r>
        <w:rPr>
          <w:rFonts w:hint="default" w:ascii="Times New Roman" w:hAnsi="方正黑体_GBK" w:eastAsia="方正黑体_GBK" w:cs="Times New Roman"/>
          <w:kern w:val="2"/>
          <w:sz w:val="31"/>
          <w:szCs w:val="31"/>
          <w:lang w:val="en-US" w:eastAsia="zh-CN" w:bidi="ar-SA"/>
        </w:rPr>
        <w:t>下一步</w:t>
      </w:r>
      <w:r>
        <w:rPr>
          <w:rFonts w:hint="eastAsia" w:ascii="Times New Roman" w:hAnsi="方正黑体_GBK" w:eastAsia="方正黑体_GBK" w:cs="Times New Roman"/>
          <w:kern w:val="2"/>
          <w:sz w:val="31"/>
          <w:szCs w:val="31"/>
          <w:lang w:val="en-US" w:eastAsia="zh-CN" w:bidi="ar-SA"/>
        </w:rPr>
        <w:t>工作打算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Times New Roman" w:hAnsi="方正楷体_GBK" w:eastAsia="方正楷体_GBK" w:cs="Times New Roman"/>
          <w:kern w:val="2"/>
          <w:sz w:val="31"/>
          <w:szCs w:val="31"/>
          <w:lang w:val="en-US" w:eastAsia="zh-CN" w:bidi="ar-SA"/>
        </w:rPr>
        <w:t>（一）全面提高法治建设意识。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持续深化“学习在先”工作机制，严格履行党政主要负责人履行推进法治建设第一责任人职责。深入抓好领导干部学法用法，建立领导干部及职工学法治度，提高机关工作人员法律素质和依法办事能力，切实把习近平法治思想落实到住建领域法治建设的全过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Times New Roman" w:hAnsi="方正楷体_GBK" w:eastAsia="方正楷体_GBK" w:cs="Times New Roman"/>
          <w:kern w:val="2"/>
          <w:sz w:val="31"/>
          <w:szCs w:val="31"/>
          <w:lang w:val="en-US" w:eastAsia="zh-CN" w:bidi="ar-SA"/>
        </w:rPr>
        <w:t>（二）全面推进城市管理体制改革。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加强与上级部门的对接协调，配合人大推动《焉耆县机动车停车场管理办法》《焉耆县城市养犬管理办法》的立法工作，严格落实住建领域综合执法工作联席会议制度，加强各部门之间的协调配合和职能衔接，及时协调解决住建领域综合执法工作中的相关问题。</w:t>
      </w:r>
    </w:p>
    <w:p>
      <w:r>
        <w:rPr>
          <w:rFonts w:hint="eastAsia" w:ascii="Times New Roman" w:hAnsi="方正楷体_GBK" w:eastAsia="方正楷体_GBK" w:cs="Times New Roman"/>
          <w:kern w:val="2"/>
          <w:sz w:val="31"/>
          <w:szCs w:val="31"/>
          <w:lang w:val="en-US" w:eastAsia="zh-CN" w:bidi="ar-SA"/>
        </w:rPr>
        <w:t>（三）全面落实普法执法并行机制。</w:t>
      </w:r>
      <w:r>
        <w:rPr>
          <w:rFonts w:hint="eastAsia" w:ascii="Times New Roman" w:hAnsi="方正仿宋_GBK" w:eastAsia="方正仿宋_GBK" w:cs="Times New Roman"/>
          <w:kern w:val="2"/>
          <w:sz w:val="31"/>
          <w:szCs w:val="31"/>
          <w:lang w:val="en-US" w:eastAsia="zh-CN" w:bidi="ar-SA"/>
        </w:rPr>
        <w:t>将法治宣传教育与法治建设相结合，认真落实普法责任制。面向群众和企业加大《中华人民共和国行政处罚法》《中华人民共和国建筑法》《物业管理条例》《城市市容和环境卫生管理条例》等法律法规的宣传，引导群众和企业知法、学法、守法，积极推进法治政府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4BC107C3"/>
    <w:rsid w:val="4BC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2024-03-18T08:29:00Z</dcterms:created>
  <dc:creator>Administrator</dc:creator>
  <cp:lastModifiedBy>Administrator</cp:lastModifiedBy>
  <dcterms:modified xsi:type="dcterms:W3CDTF">2024-03-18T08:29:43Z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597FE3BAF982485BBEE16D2E2B234837_11</vt:lpwstr>
  </property>
</Properties>
</file>