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  <w:lang w:eastAsia="zh-CN"/>
        </w:rPr>
        <w:t>北大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</w:rPr>
        <w:t>渠乡党委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  <w:lang w:eastAsia="zh-CN"/>
        </w:rPr>
        <w:t>副书记、乡长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  <w:lang w:eastAsia="zh-CN"/>
        </w:rPr>
        <w:t>阿里木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4"/>
          <w:w w:val="100"/>
          <w:sz w:val="31"/>
          <w:szCs w:val="31"/>
          <w:lang w:val="en-US" w:eastAsia="zh-CN"/>
        </w:rPr>
        <w:t>·艾山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根据工作要求，现述法如下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（一）提高法律素养，带头学法用法。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2023年来，本人通过乡党委中心组、“逢九心讲”法治讲堂、法宣在线、学习强国、参加上级会议、阅读上级文件等方式，重点学习了宪法、民法典、党章、土地承包法、村民组织法等法律知识、理论知识和上级文件会议精神，特别是深入学习了习近平法治思想，深刻理解和准确把握了精神实质，不断提高自己的法治理念和法治思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（二）强化依法行政，规范依法决策。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认真履行法治建设第一责任人职责，全面落实党中央、国务院关于法治建设的决策部署，将法治建设纳入北大渠乡发展总体规划和年度工作计划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为全面推进我乡法治政府建设工作提供了强有力的组织保障。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规范依法决策。坚持把健全依法科学决策机制，作为提高依法行政水平的重要途径。严格执行议事规则和决策程序，对于重大事项坚持班子会议研究解决，组织召开各类专题会议，虚心听取各方面的意见建议，对于专业性和技术性较强的重大决策，均请政府法律顾问进行合法性审查，提高决策的科学性和可操作性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认真贯彻落实《政府信息公开条例》，围绕民生和社会热点，利用政府门户网站等信息化平台，公开财政预算、重大项目审批和实施、社会公益事业建设等群众关注的信息。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重点推进重大建设项目批准和实施、社会公益事业建设等领域的政府信息公开，民政、村建、农业等部门办事流程、收费项目信息均上墙公示。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（三）加强法治宣传教育，营造浓厚的学法氛围。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突出宣传重点。把《宪法》《民法典》等作为重点内容广泛宣传，组建北大渠乡普法宣讲团，深入各村、农户家进行法治宣传。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注重宣传时机。充分利用“3·15”消费维权日、“12·4”宪法宣传日等普法宣传日，采取会议、横幅、摆摊等多种形式开展有关法律法规宣传教育活动，使广大群众受到潜移默化的法治教育。三是创新宣传方式。注重充分发挥微信、抖音、网络等新媒体宣传方式，营造了浓厚的学法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二、下一步工作打算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default" w:ascii="方正楷体_GBK" w:hAnsi="方正楷体_GBK" w:eastAsia="方正楷体_GBK" w:cs="方正楷体_GBK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提高政治站位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，</w:t>
      </w:r>
      <w:r>
        <w:rPr>
          <w:rFonts w:hint="default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落实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主体</w:t>
      </w:r>
      <w:r>
        <w:rPr>
          <w:rFonts w:hint="default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责任</w:t>
      </w: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坚持做到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法治建设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责任常记在心，工作常抓在手，定期研究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法治建设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工作，认真组织开展党委中心组学习，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进一步提高班子成员法律知识水平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；强化班子成员落实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法治建设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工作“一岗双责”，不断总结经验，制定计划，分析解决工作中存在的实际问题，全面促进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依法治乡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（二）强化制度管理，加强党风廉政教育。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严格执行中央“八项规定”“六条禁令”，将制度落实到实处，把党风廉政建设落实在具体行动上，切实用好本乡廉政教育基地，定期组织党员干部进行学习，提高党员干部自身警醒意识，自觉接受党组织和人民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（三）加强法治学习，提高普法工作质效。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4"/>
          <w:w w:val="100"/>
          <w:sz w:val="32"/>
          <w:szCs w:val="32"/>
          <w:lang w:val="en-US" w:eastAsia="zh-CN"/>
        </w:rPr>
        <w:t>健全完善党委中心组学法制度，充分用好每周集中学习时间，定期组织全乡干部开展法治工作测试，确保依法行政得到有效落实；常态化组织包村领导、干部深入各村开展普法宣传活动，进一步提高全乡农牧民群众法律意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5D2437C0"/>
    <w:rsid w:val="5D2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2024-03-18T08:03:00Z</dcterms:created>
  <dc:creator>Administrator</dc:creator>
  <cp:lastModifiedBy>Administrator</cp:lastModifiedBy>
  <dcterms:modified xsi:type="dcterms:W3CDTF">2024-03-18T08:03:59Z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20A1AEB738F54ED7B2434EBC79F36567_11</vt:lpwstr>
  </property>
</Properties>
</file>