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80" w:lineRule="auto"/>
        <w:ind w:left="0" w:right="0"/>
        <w:jc w:val="center"/>
        <w:rPr>
          <w:rFonts w:hint="eastAsia" w:ascii="微软雅黑" w:hAnsi="微软雅黑" w:eastAsia="微软雅黑" w:cs="微软雅黑"/>
          <w:i w:val="0"/>
          <w:color w:val="0F0F0F"/>
          <w:sz w:val="44"/>
          <w:szCs w:val="44"/>
          <w:lang w:eastAsia="zh-CN"/>
        </w:rPr>
      </w:pPr>
      <w:r>
        <w:rPr>
          <w:rFonts w:hint="eastAsia"/>
          <w:color w:val="0F0F0F"/>
          <w:sz w:val="44"/>
          <w:szCs w:val="44"/>
          <w:lang w:val="en-US" w:eastAsia="zh-CN"/>
        </w:rPr>
        <w:t>焉耆回族自治县</w:t>
      </w:r>
      <w:r>
        <w:rPr>
          <w:color w:val="0F0F0F"/>
          <w:sz w:val="44"/>
          <w:szCs w:val="44"/>
        </w:rPr>
        <w:t>市场监督管理局关于不合格食品核查处置情况的通告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仿宋" w:hAnsi="仿宋" w:eastAsia="仿宋" w:cs="仿宋"/>
          <w:color w:val="0F0F0F"/>
          <w:sz w:val="32"/>
          <w:szCs w:val="32"/>
        </w:rPr>
      </w:pPr>
      <w:r>
        <w:rPr>
          <w:rFonts w:hint="eastAsia" w:ascii="仿宋" w:hAnsi="仿宋" w:eastAsia="仿宋" w:cs="仿宋"/>
          <w:color w:val="0F0F0F"/>
          <w:sz w:val="32"/>
          <w:szCs w:val="32"/>
        </w:rPr>
        <w:t>根据《自治区市场监管系统食品安全抽检监测计划》</w:t>
      </w:r>
      <w:r>
        <w:rPr>
          <w:rFonts w:hint="eastAsia" w:ascii="仿宋" w:hAnsi="仿宋" w:eastAsia="仿宋" w:cs="仿宋"/>
          <w:color w:val="0F0F0F"/>
          <w:sz w:val="32"/>
          <w:szCs w:val="32"/>
          <w:u w:val="none"/>
        </w:rPr>
        <w:t>文件精神，涉及焉耆回族自治县1家销售经营户。现将</w:t>
      </w:r>
      <w:r>
        <w:rPr>
          <w:rFonts w:hint="eastAsia" w:ascii="方正仿宋_GBK" w:hAnsi="方正仿宋_GBK" w:eastAsia="方正仿宋_GBK" w:cs="方正仿宋_GBK"/>
          <w:color w:val="auto"/>
          <w:sz w:val="32"/>
          <w:szCs w:val="32"/>
          <w:u w:val="none" w:color="auto"/>
          <w:lang w:val="en-US" w:eastAsia="zh-CN"/>
        </w:rPr>
        <w:t>焉耆速购便利超市</w:t>
      </w:r>
      <w:r>
        <w:rPr>
          <w:rFonts w:hint="eastAsia" w:ascii="方正仿宋_GBK" w:hAnsi="方正仿宋_GBK" w:eastAsia="方正仿宋_GBK" w:cs="方正仿宋_GBK"/>
          <w:sz w:val="32"/>
          <w:szCs w:val="32"/>
          <w:u w:val="none"/>
          <w:lang w:val="en-US" w:eastAsia="zh-CN"/>
        </w:rPr>
        <w:t>销售的</w:t>
      </w:r>
      <w:r>
        <w:rPr>
          <w:rFonts w:hint="eastAsia" w:ascii="方正仿宋_GBK" w:hAnsi="方正仿宋_GBK" w:eastAsia="方正仿宋_GBK" w:cs="方正仿宋_GBK"/>
          <w:color w:val="auto"/>
          <w:sz w:val="32"/>
          <w:szCs w:val="32"/>
          <w:u w:val="none" w:color="auto"/>
          <w:lang w:val="en-US" w:eastAsia="zh-CN" w:bidi="ar-SA"/>
        </w:rPr>
        <w:t>苏子月饼</w:t>
      </w:r>
      <w:r>
        <w:rPr>
          <w:rFonts w:hint="eastAsia" w:ascii="仿宋" w:hAnsi="仿宋" w:eastAsia="仿宋" w:cs="仿宋"/>
          <w:sz w:val="32"/>
          <w:szCs w:val="32"/>
          <w:u w:val="none"/>
          <w:lang w:val="en-US" w:eastAsia="zh-CN"/>
        </w:rPr>
        <w:t>经抽样检</w:t>
      </w:r>
      <w:r>
        <w:rPr>
          <w:rFonts w:hint="eastAsia" w:ascii="仿宋" w:hAnsi="仿宋" w:eastAsia="仿宋" w:cs="仿宋"/>
          <w:sz w:val="32"/>
          <w:szCs w:val="32"/>
          <w:lang w:val="en-US" w:eastAsia="zh-CN"/>
        </w:rPr>
        <w:t>验，</w:t>
      </w:r>
      <w:r>
        <w:rPr>
          <w:rFonts w:hint="eastAsia" w:ascii="方正仿宋_GBK" w:hAnsi="方正仿宋_GBK" w:eastAsia="方正仿宋_GBK" w:cs="方正仿宋_GBK"/>
          <w:color w:val="auto"/>
          <w:sz w:val="32"/>
          <w:szCs w:val="32"/>
          <w:u w:val="none" w:color="auto"/>
          <w:lang w:val="en-US" w:eastAsia="zh-CN" w:bidi="ar-SA"/>
        </w:rPr>
        <w:t>过氧化值(以脂肪计)项目不符合 GB 7099-2015《食品安全国家标准 糕点、面包》要求，检验结论为不合格</w:t>
      </w:r>
      <w:r>
        <w:rPr>
          <w:rFonts w:hint="eastAsia" w:ascii="仿宋" w:hAnsi="仿宋" w:eastAsia="仿宋" w:cs="仿宋"/>
          <w:color w:val="0F0F0F"/>
          <w:sz w:val="32"/>
          <w:szCs w:val="32"/>
        </w:rPr>
        <w:t>处置情况公告如下：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olor w:val="0F0F0F"/>
          <w:sz w:val="32"/>
          <w:szCs w:val="32"/>
        </w:rPr>
        <w:t>一、抽检基本情况</w:t>
      </w:r>
    </w:p>
    <w:p>
      <w:pPr>
        <w:keepNext w:val="0"/>
        <w:keepLines w:val="0"/>
        <w:pageBreakBefore w:val="0"/>
        <w:widowControl w:val="0"/>
        <w:kinsoku/>
        <w:wordWrap/>
        <w:overflowPunct/>
        <w:topLinePunct w:val="0"/>
        <w:autoSpaceDE w:val="0"/>
        <w:autoSpaceDN w:val="0"/>
        <w:bidi w:val="0"/>
        <w:adjustRightInd/>
        <w:snapToGrid/>
        <w:spacing w:line="480" w:lineRule="exact"/>
        <w:ind w:firstLine="640" w:firstLineChars="200"/>
        <w:textAlignment w:val="auto"/>
        <w:rPr>
          <w:rFonts w:hint="eastAsia" w:ascii="方正仿宋_GBK" w:hAnsi="方正仿宋_GBK" w:eastAsia="方正仿宋_GBK" w:cs="方正仿宋_GBK"/>
          <w:color w:val="auto"/>
          <w:sz w:val="32"/>
          <w:szCs w:val="32"/>
          <w:u w:val="none" w:color="auto"/>
          <w:lang w:val="en-US" w:eastAsia="zh-CN"/>
        </w:rPr>
      </w:pPr>
      <w:r>
        <w:rPr>
          <w:rFonts w:hint="eastAsia" w:ascii="方正仿宋_GBK" w:hAnsi="方正仿宋_GBK" w:eastAsia="方正仿宋_GBK" w:cs="方正仿宋_GBK"/>
          <w:color w:val="auto"/>
          <w:sz w:val="32"/>
          <w:szCs w:val="32"/>
          <w:u w:val="none" w:color="auto"/>
          <w:lang w:val="en-US" w:eastAsia="zh-CN" w:bidi="ar-SA"/>
        </w:rPr>
        <w:t>2024年1月14日，新疆维吾尔自治区市场监督管理局对</w:t>
      </w:r>
      <w:r>
        <w:rPr>
          <w:rFonts w:hint="eastAsia" w:ascii="方正仿宋_GBK" w:hAnsi="方正仿宋_GBK" w:eastAsia="方正仿宋_GBK" w:cs="方正仿宋_GBK"/>
          <w:color w:val="auto"/>
          <w:sz w:val="32"/>
          <w:szCs w:val="32"/>
          <w:u w:val="none" w:color="auto"/>
          <w:lang w:val="en-US" w:eastAsia="zh-CN"/>
        </w:rPr>
        <w:t>焉耆速购便利超市</w:t>
      </w:r>
      <w:r>
        <w:rPr>
          <w:rFonts w:hint="eastAsia" w:ascii="方正仿宋_GBK" w:hAnsi="方正仿宋_GBK" w:eastAsia="方正仿宋_GBK" w:cs="方正仿宋_GBK"/>
          <w:color w:val="auto"/>
          <w:sz w:val="32"/>
          <w:szCs w:val="32"/>
          <w:u w:val="none" w:color="auto"/>
          <w:lang w:val="en-US" w:eastAsia="zh-CN" w:bidi="ar-SA"/>
        </w:rPr>
        <w:t xml:space="preserve">销售的苏子月饼进行国家食品安全抽样检验，该店负责人当时在店配合抽检。抽检的样品为：（产品名称：苏子月饼，商标：/，规格型号：400克/盒，生产日期：2023年8月25日，质量等级/。） </w:t>
      </w:r>
      <w:r>
        <w:rPr>
          <w:rFonts w:hint="eastAsia" w:ascii="方正仿宋_GBK" w:hAnsi="方正仿宋_GBK" w:eastAsia="方正仿宋_GBK" w:cs="方正仿宋_GBK"/>
          <w:color w:val="auto"/>
          <w:sz w:val="32"/>
          <w:szCs w:val="32"/>
          <w:u w:val="none" w:color="auto"/>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80" w:lineRule="exact"/>
        <w:ind w:firstLine="640" w:firstLineChars="200"/>
        <w:textAlignment w:val="auto"/>
        <w:rPr>
          <w:rFonts w:hint="eastAsia" w:ascii="方正仿宋_GBK" w:hAnsi="方正仿宋_GBK" w:eastAsia="方正仿宋_GBK" w:cs="方正仿宋_GBK"/>
          <w:color w:val="auto"/>
          <w:sz w:val="32"/>
          <w:szCs w:val="32"/>
          <w:u w:val="none" w:color="auto"/>
          <w:lang w:val="en-US" w:eastAsia="zh-CN" w:bidi="ar-SA"/>
        </w:rPr>
      </w:pPr>
      <w:r>
        <w:rPr>
          <w:rFonts w:hint="eastAsia" w:ascii="方正仿宋_GBK" w:hAnsi="方正仿宋_GBK" w:eastAsia="方正仿宋_GBK" w:cs="方正仿宋_GBK"/>
          <w:color w:val="auto"/>
          <w:sz w:val="32"/>
          <w:szCs w:val="32"/>
          <w:u w:val="none" w:color="auto"/>
          <w:lang w:val="en-US" w:eastAsia="zh-CN" w:bidi="ar-SA"/>
        </w:rPr>
        <w:t>2024年2月6日，我局收到新疆维吾尔自治区产品质量监督检验研究院出具出具的食品安全监督抽检检验报告№：2024X-J-SP02236及国家食品安全抽样检验结果通知书（SBJ24650000830231836），检验结论为：经抽样检验，过氧化值(以脂肪计)项目不符合 GB 7099-2015《食品安全国家标准 糕点、面包》要求，检验结论为不合格。</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方正仿宋_GBK" w:hAnsi="方正仿宋_GBK" w:eastAsia="方正仿宋_GBK" w:cs="方正仿宋_GBK"/>
          <w:color w:val="auto"/>
          <w:sz w:val="32"/>
          <w:szCs w:val="32"/>
          <w:u w:val="none" w:color="auto"/>
          <w:lang w:val="en-US" w:eastAsia="zh-CN" w:bidi="ar-SA"/>
        </w:rPr>
        <w:t>2023年2月6日，我局执法人员向位于新疆巴音郭楞蒙古自治州焉耆回族自治县G3012吐和高速南侧焉者服务区一楼01号超市区的焉耆速购便利超市送达国家食品安全抽样检验结果通知书及检验报告，当事人的委托人阳光现场签收检验报告，并对检验报告无异议，不要求复检。同时我局执法人员对焉耆速购便利超市进行现场检查，经查发现：该店现场资质齐全，卫生状况良好，检查现场中未发现检验报告中所述的不合格苏子月饼，同时向执法人员提供了不合格苏子月饼的索证索票记录相关文件（奇台县益香阁食品厂营业执照及食品生产许可证复印件，苏子月饼进货票据，同批次老五仁月饼检验报告，）及超市下架商品清单,当事人的委托人阳光一直在现场配合检查，检查当日未实施强制措施决定。</w:t>
      </w:r>
      <w:r>
        <w:rPr>
          <w:rFonts w:hint="eastAsia" w:ascii="仿宋" w:hAnsi="仿宋" w:eastAsia="仿宋" w:cs="仿宋"/>
          <w:sz w:val="32"/>
          <w:szCs w:val="32"/>
          <w:lang w:val="en-US" w:eastAsia="zh-CN"/>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olor w:val="0F0F0F"/>
          <w:sz w:val="32"/>
          <w:szCs w:val="32"/>
        </w:rPr>
        <w:t>二、对</w:t>
      </w:r>
      <w:r>
        <w:rPr>
          <w:rFonts w:hint="eastAsia" w:ascii="仿宋" w:hAnsi="仿宋" w:eastAsia="仿宋" w:cs="仿宋"/>
          <w:color w:val="0F0F0F"/>
          <w:sz w:val="32"/>
          <w:szCs w:val="32"/>
          <w:lang w:eastAsia="zh-CN"/>
        </w:rPr>
        <w:t>经营户</w:t>
      </w:r>
      <w:r>
        <w:rPr>
          <w:rFonts w:hint="eastAsia" w:ascii="仿宋" w:hAnsi="仿宋" w:eastAsia="仿宋" w:cs="仿宋"/>
          <w:color w:val="0F0F0F"/>
          <w:sz w:val="32"/>
          <w:szCs w:val="32"/>
        </w:rPr>
        <w:t>违法违规行为依法处罚情况</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经调查查明：</w:t>
      </w:r>
      <w:r>
        <w:rPr>
          <w:rFonts w:hint="eastAsia" w:ascii="方正仿宋_GBK" w:hAnsi="方正仿宋_GBK" w:eastAsia="方正仿宋_GBK" w:cs="方正仿宋_GBK"/>
          <w:color w:val="auto"/>
          <w:sz w:val="32"/>
          <w:szCs w:val="32"/>
          <w:u w:val="none" w:color="auto"/>
          <w:lang w:val="en-US" w:eastAsia="zh-CN"/>
        </w:rPr>
        <w:t>被抽样的苏子月饼是当事人于2024年1月5日从奇台县益香阁食品厂的业务员上门推销时购进，购进数为10盒，进货单价7元/盒，共计10*7=70元，苏子月饼均在店内以零售的方式进行销售，销售价格为15元/盒，购进的10盒苏子月饼直至抽检才开始销售，销售了8盒，剩余2盒由于产品日期不好，当事人将月饼下架了，由员工带走喂鸡。因苏子月饼都是在店内零售，未建立销售记录，故无法召回，故违法所得为无法计算。本案案值为10盒*15元/盒=150元。</w:t>
      </w:r>
    </w:p>
    <w:p>
      <w:pPr>
        <w:keepNext w:val="0"/>
        <w:keepLines w:val="0"/>
        <w:pageBreakBefore w:val="0"/>
        <w:widowControl w:val="0"/>
        <w:shd w:val="clear" w:color="auto" w:fill="auto"/>
        <w:kinsoku/>
        <w:wordWrap/>
        <w:overflowPunct/>
        <w:topLinePunct w:val="0"/>
        <w:autoSpaceDE w:val="0"/>
        <w:autoSpaceDN w:val="0"/>
        <w:bidi w:val="0"/>
        <w:adjustRightInd/>
        <w:snapToGrid/>
        <w:spacing w:line="48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当</w:t>
      </w:r>
      <w:r>
        <w:rPr>
          <w:rFonts w:hint="eastAsia" w:ascii="方正仿宋_GBK" w:hAnsi="方正仿宋_GBK" w:eastAsia="方正仿宋_GBK" w:cs="方正仿宋_GBK"/>
          <w:color w:val="auto"/>
          <w:sz w:val="32"/>
          <w:szCs w:val="32"/>
          <w:lang w:eastAsia="zh-CN"/>
        </w:rPr>
        <w:t>事人销售不合格食品的行为违反</w:t>
      </w:r>
      <w:r>
        <w:rPr>
          <w:rFonts w:hint="eastAsia" w:ascii="方正仿宋_GBK" w:hAnsi="方正仿宋_GBK" w:eastAsia="方正仿宋_GBK" w:cs="方正仿宋_GBK"/>
          <w:color w:val="auto"/>
          <w:sz w:val="32"/>
          <w:szCs w:val="32"/>
          <w:lang w:val="en-US" w:eastAsia="zh-CN"/>
        </w:rPr>
        <w:t>《中华人民共和国食品安全法》第三十四条第一款</w:t>
      </w:r>
      <w:r>
        <w:rPr>
          <w:rFonts w:hint="eastAsia" w:ascii="方正仿宋_GBK" w:hAnsi="方正仿宋_GBK" w:eastAsia="方正仿宋_GBK" w:cs="方正仿宋_GBK"/>
          <w:color w:val="auto"/>
          <w:sz w:val="32"/>
          <w:szCs w:val="32"/>
          <w:u w:val="none" w:color="auto"/>
          <w:lang w:val="en-US" w:eastAsia="zh-CN" w:bidi="ar-SA"/>
        </w:rPr>
        <w:t>第（十三）项</w:t>
      </w:r>
      <w:r>
        <w:rPr>
          <w:rFonts w:hint="eastAsia" w:ascii="方正仿宋_GBK" w:hAnsi="方正仿宋_GBK" w:eastAsia="方正仿宋_GBK" w:cs="方正仿宋_GBK"/>
          <w:color w:val="auto"/>
          <w:sz w:val="32"/>
          <w:szCs w:val="32"/>
          <w:lang w:val="en-US" w:eastAsia="zh-CN"/>
        </w:rPr>
        <w:t>和</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中华人民共和国</w:t>
      </w:r>
      <w:r>
        <w:rPr>
          <w:rFonts w:hint="eastAsia" w:ascii="方正仿宋_GBK" w:hAnsi="方正仿宋_GBK" w:eastAsia="方正仿宋_GBK" w:cs="方正仿宋_GBK"/>
          <w:color w:val="auto"/>
          <w:sz w:val="32"/>
          <w:szCs w:val="32"/>
          <w:lang w:eastAsia="zh-CN"/>
        </w:rPr>
        <w:t>食品安全法》第五十三条第一款：</w:t>
      </w:r>
      <w:r>
        <w:rPr>
          <w:rFonts w:hint="eastAsia" w:ascii="方正仿宋_GBK" w:hAnsi="方正仿宋_GBK" w:eastAsia="方正仿宋_GBK" w:cs="方正仿宋_GBK"/>
          <w:color w:val="auto"/>
          <w:sz w:val="32"/>
          <w:szCs w:val="32"/>
          <w:lang w:val="en-US" w:eastAsia="zh-CN"/>
        </w:rPr>
        <w:t>之规定，构成</w:t>
      </w:r>
      <w:r>
        <w:rPr>
          <w:rFonts w:hint="eastAsia" w:ascii="仿宋" w:hAnsi="仿宋" w:eastAsia="仿宋" w:cs="仿宋"/>
          <w:color w:val="auto"/>
          <w:sz w:val="32"/>
          <w:szCs w:val="32"/>
          <w:lang w:val="en-US" w:eastAsia="zh-CN"/>
        </w:rPr>
        <w:t>食品经营者未查验进货食品相关证明文件及</w:t>
      </w:r>
      <w:r>
        <w:rPr>
          <w:rFonts w:hint="eastAsia" w:ascii="方正仿宋_GBK" w:hAnsi="方正仿宋_GBK" w:eastAsia="方正仿宋_GBK" w:cs="方正仿宋_GBK"/>
          <w:color w:val="auto"/>
          <w:sz w:val="32"/>
          <w:szCs w:val="32"/>
          <w:u w:val="none" w:color="auto"/>
          <w:lang w:eastAsia="zh-CN"/>
        </w:rPr>
        <w:t>销售</w:t>
      </w:r>
      <w:r>
        <w:rPr>
          <w:rFonts w:hint="eastAsia" w:ascii="仿宋" w:hAnsi="仿宋" w:eastAsia="仿宋" w:cs="仿宋"/>
          <w:color w:val="auto"/>
          <w:sz w:val="32"/>
          <w:szCs w:val="32"/>
          <w:lang w:val="en-US" w:eastAsia="zh-CN"/>
        </w:rPr>
        <w:t>不符合国家食品安全标准苏子月饼</w:t>
      </w:r>
      <w:r>
        <w:rPr>
          <w:rFonts w:hint="eastAsia" w:ascii="方正仿宋_GBK" w:hAnsi="方正仿宋_GBK" w:eastAsia="方正仿宋_GBK" w:cs="方正仿宋_GBK"/>
          <w:color w:val="auto"/>
          <w:sz w:val="32"/>
          <w:szCs w:val="32"/>
          <w:lang w:eastAsia="zh-CN"/>
        </w:rPr>
        <w:t>的违法</w:t>
      </w:r>
      <w:r>
        <w:rPr>
          <w:rFonts w:hint="eastAsia" w:ascii="方正仿宋_GBK" w:hAnsi="方正仿宋_GBK" w:eastAsia="方正仿宋_GBK" w:cs="方正仿宋_GBK"/>
          <w:color w:val="auto"/>
          <w:sz w:val="32"/>
          <w:szCs w:val="32"/>
          <w:lang w:val="en-US" w:eastAsia="zh-CN"/>
        </w:rPr>
        <w:t>行为。</w:t>
      </w:r>
    </w:p>
    <w:p>
      <w:pPr>
        <w:keepNext w:val="0"/>
        <w:keepLines w:val="0"/>
        <w:pageBreakBefore w:val="0"/>
        <w:widowControl w:val="0"/>
        <w:kinsoku/>
        <w:wordWrap/>
        <w:overflowPunct/>
        <w:topLinePunct w:val="0"/>
        <w:autoSpaceDE w:val="0"/>
        <w:autoSpaceDN w:val="0"/>
        <w:bidi w:val="0"/>
        <w:adjustRightInd/>
        <w:snapToGrid/>
        <w:spacing w:line="4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当事人的行为违反了</w:t>
      </w:r>
      <w:r>
        <w:rPr>
          <w:rFonts w:hint="eastAsia" w:ascii="仿宋" w:hAnsi="仿宋" w:eastAsia="仿宋" w:cs="仿宋"/>
          <w:color w:val="auto"/>
          <w:sz w:val="32"/>
          <w:szCs w:val="32"/>
          <w:lang w:val="en-US" w:eastAsia="zh-CN"/>
        </w:rPr>
        <w:t>《中华人民共和国食品安全法》第三十四条第一款第（十三）项和《中华人民共和国食品安全法》第五十三条</w:t>
      </w:r>
      <w:r>
        <w:rPr>
          <w:rFonts w:hint="eastAsia" w:ascii="方正仿宋_GBK" w:hAnsi="方正仿宋_GBK" w:eastAsia="方正仿宋_GBK" w:cs="方正仿宋_GBK"/>
          <w:color w:val="auto"/>
          <w:sz w:val="32"/>
          <w:szCs w:val="32"/>
          <w:lang w:eastAsia="zh-CN"/>
        </w:rPr>
        <w:t>第一款</w:t>
      </w:r>
      <w:r>
        <w:rPr>
          <w:rFonts w:hint="eastAsia" w:ascii="仿宋" w:hAnsi="仿宋" w:eastAsia="仿宋" w:cs="仿宋"/>
          <w:color w:val="auto"/>
          <w:sz w:val="32"/>
          <w:szCs w:val="32"/>
          <w:lang w:val="en-US" w:eastAsia="zh-CN"/>
        </w:rPr>
        <w:t>之规定。</w:t>
      </w:r>
    </w:p>
    <w:p>
      <w:pPr>
        <w:keepNext w:val="0"/>
        <w:keepLines w:val="0"/>
        <w:pageBreakBefore w:val="0"/>
        <w:widowControl w:val="0"/>
        <w:shd w:val="clear" w:color="auto" w:fill="auto"/>
        <w:kinsoku/>
        <w:wordWrap/>
        <w:overflowPunct/>
        <w:topLinePunct w:val="0"/>
        <w:autoSpaceDE w:val="0"/>
        <w:autoSpaceDN w:val="0"/>
        <w:bidi w:val="0"/>
        <w:adjustRightInd w:val="0"/>
        <w:snapToGrid/>
        <w:spacing w:line="4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仿宋" w:hAnsi="仿宋" w:eastAsia="仿宋" w:cs="仿宋"/>
          <w:color w:val="auto"/>
          <w:sz w:val="32"/>
          <w:szCs w:val="32"/>
          <w:lang w:val="en-US" w:eastAsia="zh-CN"/>
        </w:rPr>
        <w:t>依据《中华人民共和国食品安全法》第一百二十四条第一款第一项和《中华人民共和国食品安全法》第一百二十六条第一款第三项之规定，</w:t>
      </w:r>
      <w:r>
        <w:rPr>
          <w:rFonts w:hint="eastAsia" w:ascii="方正仿宋_GBK" w:hAnsi="方正仿宋_GBK" w:eastAsia="方正仿宋_GBK" w:cs="方正仿宋_GBK"/>
          <w:color w:val="auto"/>
          <w:sz w:val="32"/>
          <w:szCs w:val="32"/>
          <w:lang w:val="en-US" w:eastAsia="zh-CN"/>
        </w:rPr>
        <w:t>责令当事人改正违法行为；决定对当事人处罚如下：</w:t>
      </w:r>
    </w:p>
    <w:p>
      <w:pPr>
        <w:keepNext w:val="0"/>
        <w:keepLines w:val="0"/>
        <w:pageBreakBefore w:val="0"/>
        <w:widowControl w:val="0"/>
        <w:shd w:val="clear" w:color="auto" w:fill="auto"/>
        <w:kinsoku/>
        <w:wordWrap/>
        <w:overflowPunct/>
        <w:topLinePunct w:val="0"/>
        <w:autoSpaceDE w:val="0"/>
        <w:autoSpaceDN w:val="0"/>
        <w:bidi w:val="0"/>
        <w:adjustRightInd w:val="0"/>
        <w:snapToGrid/>
        <w:spacing w:line="4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1.警告。</w:t>
      </w:r>
    </w:p>
    <w:p>
      <w:pPr>
        <w:keepNext w:val="0"/>
        <w:keepLines w:val="0"/>
        <w:pageBreakBefore w:val="0"/>
        <w:widowControl w:val="0"/>
        <w:shd w:val="clear" w:color="auto" w:fill="auto"/>
        <w:kinsoku/>
        <w:wordWrap/>
        <w:overflowPunct/>
        <w:topLinePunct w:val="0"/>
        <w:autoSpaceDE w:val="0"/>
        <w:autoSpaceDN w:val="0"/>
        <w:bidi w:val="0"/>
        <w:adjustRightInd w:val="0"/>
        <w:snapToGrid/>
        <w:spacing w:line="4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2.处10000元的罚款；</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方正仿宋_GBK" w:hAnsi="方正仿宋_GBK" w:eastAsia="方正仿宋_GBK" w:cs="方正仿宋_GBK"/>
          <w:color w:val="auto"/>
          <w:sz w:val="32"/>
          <w:szCs w:val="32"/>
          <w:u w:val="none" w:color="auto"/>
          <w:lang w:val="en-US" w:eastAsia="zh-CN"/>
        </w:rPr>
      </w:pPr>
      <w:r>
        <w:rPr>
          <w:rFonts w:hint="eastAsia" w:ascii="方正仿宋_GBK" w:hAnsi="方正仿宋_GBK" w:eastAsia="方正仿宋_GBK" w:cs="方正仿宋_GBK"/>
          <w:color w:val="auto"/>
          <w:sz w:val="32"/>
          <w:szCs w:val="32"/>
          <w:u w:val="none" w:color="auto"/>
          <w:lang w:val="en-US" w:eastAsia="zh-CN"/>
        </w:rPr>
        <w:t>三、不合格原因分析排查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过氧化值主要反映油脂是否氧化变质。随着油脂氧化，过氧化值会逐步升高，虽一般不会对人体的健康产生损害，但严重时会导致肠胃不适、腹泻等症状。过氧化值超标的原因可能是产品用油已经变质，或者产品在储存过程中环境条件控制不当，导致油脂酸败;也可能是原料中的脂肪已经氧化，原料储存不当，未采取有效的抗氧化措施，使得终产品油脂氧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方正仿宋_GBK" w:hAnsi="方正仿宋_GBK" w:eastAsia="方正仿宋_GBK" w:cs="方正仿宋_GBK"/>
          <w:color w:val="auto"/>
          <w:sz w:val="32"/>
          <w:szCs w:val="32"/>
          <w:u w:val="none" w:color="auto"/>
          <w:lang w:val="en-US" w:eastAsia="zh-CN"/>
        </w:rPr>
      </w:pPr>
      <w:r>
        <w:rPr>
          <w:rFonts w:hint="eastAsia" w:ascii="方正仿宋_GBK" w:hAnsi="方正仿宋_GBK" w:eastAsia="方正仿宋_GBK" w:cs="方正仿宋_GBK"/>
          <w:color w:val="auto"/>
          <w:sz w:val="32"/>
          <w:szCs w:val="32"/>
          <w:u w:val="none" w:color="auto"/>
          <w:lang w:val="en-US" w:eastAsia="zh-CN"/>
        </w:rPr>
        <w:t>整改措施:该企业第一时间进行排查，未发现同批次商品，同时立即致电供应商通知该批次</w:t>
      </w:r>
      <w:r>
        <w:rPr>
          <w:rFonts w:hint="eastAsia" w:ascii="方正仿宋_GBK" w:hAnsi="方正仿宋_GBK" w:eastAsia="方正仿宋_GBK" w:cs="方正仿宋_GBK"/>
          <w:sz w:val="32"/>
          <w:szCs w:val="32"/>
          <w:lang w:eastAsia="zh-CN"/>
        </w:rPr>
        <w:t>苏子月饼</w:t>
      </w:r>
      <w:r>
        <w:rPr>
          <w:rFonts w:hint="eastAsia" w:ascii="方正仿宋_GBK" w:hAnsi="方正仿宋_GBK" w:eastAsia="方正仿宋_GBK" w:cs="方正仿宋_GBK"/>
          <w:color w:val="auto"/>
          <w:sz w:val="32"/>
          <w:szCs w:val="32"/>
          <w:u w:val="none" w:color="auto"/>
          <w:lang w:val="en-US" w:eastAsia="zh-CN"/>
        </w:rPr>
        <w:t>检验结论为不合格，同时在以后工作中将加强食品索票索证管理、加强食品进货查验管理、严格遵守《中华人民共和国食品安全法》的要求，采购食品时认真查验供货者的许可证和食品出厂检验合格证或者其他合格证明。为广大消费者提供安全、健康、放心的商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方正仿宋_GBK" w:hAnsi="方正仿宋_GBK" w:eastAsia="方正仿宋_GBK" w:cs="方正仿宋_GBK"/>
          <w:color w:val="auto"/>
          <w:sz w:val="32"/>
          <w:szCs w:val="32"/>
          <w:u w:val="none" w:color="auto"/>
          <w:lang w:val="en-US" w:eastAsia="zh-CN"/>
        </w:rPr>
      </w:pPr>
      <w:r>
        <w:rPr>
          <w:rFonts w:hint="eastAsia" w:ascii="方正仿宋_GBK" w:hAnsi="方正仿宋_GBK" w:eastAsia="方正仿宋_GBK" w:cs="方正仿宋_GBK"/>
          <w:color w:val="auto"/>
          <w:sz w:val="32"/>
          <w:szCs w:val="32"/>
          <w:u w:val="none" w:color="auto"/>
          <w:lang w:val="en-US" w:eastAsia="zh-CN"/>
        </w:rPr>
        <w:t>四、其他需要说明的情况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default" w:ascii="方正仿宋_GBK" w:hAnsi="方正仿宋_GBK" w:eastAsia="方正仿宋_GBK" w:cs="方正仿宋_GBK"/>
          <w:color w:val="auto"/>
          <w:sz w:val="32"/>
          <w:szCs w:val="32"/>
          <w:u w:val="none" w:color="auto"/>
          <w:lang w:val="en-US" w:eastAsia="zh-CN"/>
        </w:rPr>
      </w:pPr>
      <w:r>
        <w:rPr>
          <w:rFonts w:hint="eastAsia" w:ascii="方正仿宋_GBK" w:hAnsi="方正仿宋_GBK" w:eastAsia="方正仿宋_GBK" w:cs="方正仿宋_GBK"/>
          <w:color w:val="auto"/>
          <w:kern w:val="2"/>
          <w:sz w:val="32"/>
          <w:szCs w:val="32"/>
          <w:lang w:val="en-US" w:eastAsia="zh-CN" w:bidi="ar-SA"/>
        </w:rPr>
        <w:t>无。</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3200" w:firstLineChars="1000"/>
        <w:jc w:val="left"/>
        <w:textAlignment w:val="auto"/>
        <w:rPr>
          <w:rFonts w:hint="eastAsia" w:ascii="仿宋" w:hAnsi="仿宋" w:eastAsia="仿宋" w:cs="仿宋"/>
          <w:color w:val="0F0F0F"/>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3200" w:firstLineChars="1000"/>
        <w:jc w:val="left"/>
        <w:textAlignment w:val="auto"/>
        <w:rPr>
          <w:rFonts w:hint="eastAsia" w:ascii="仿宋" w:hAnsi="仿宋" w:eastAsia="仿宋" w:cs="仿宋"/>
          <w:color w:val="0F0F0F"/>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3200" w:firstLineChars="1000"/>
        <w:jc w:val="left"/>
        <w:textAlignment w:val="auto"/>
        <w:rPr>
          <w:rFonts w:hint="eastAsia" w:ascii="仿宋" w:hAnsi="仿宋" w:eastAsia="仿宋" w:cs="仿宋"/>
          <w:color w:val="0F0F0F"/>
          <w:sz w:val="32"/>
          <w:szCs w:val="32"/>
          <w:lang w:eastAsia="zh-CN"/>
        </w:rPr>
      </w:pPr>
      <w:r>
        <w:rPr>
          <w:rFonts w:hint="eastAsia" w:ascii="仿宋" w:hAnsi="仿宋" w:eastAsia="仿宋" w:cs="仿宋"/>
          <w:color w:val="0F0F0F"/>
          <w:sz w:val="32"/>
          <w:szCs w:val="32"/>
          <w:lang w:val="en-US" w:eastAsia="zh-CN"/>
        </w:rPr>
        <w:t>焉耆回族自治县</w:t>
      </w:r>
      <w:r>
        <w:rPr>
          <w:rFonts w:hint="eastAsia" w:ascii="仿宋" w:hAnsi="仿宋" w:eastAsia="仿宋" w:cs="仿宋"/>
          <w:color w:val="0F0F0F"/>
          <w:sz w:val="32"/>
          <w:szCs w:val="32"/>
        </w:rPr>
        <w:t>市场监督管理</w:t>
      </w:r>
      <w:r>
        <w:rPr>
          <w:rFonts w:hint="eastAsia" w:ascii="仿宋" w:hAnsi="仿宋" w:eastAsia="仿宋" w:cs="仿宋"/>
          <w:color w:val="0F0F0F"/>
          <w:sz w:val="32"/>
          <w:szCs w:val="32"/>
          <w:lang w:eastAsia="zh-CN"/>
        </w:rPr>
        <w:t>局</w:t>
      </w:r>
    </w:p>
    <w:p>
      <w:pPr>
        <w:keepNext w:val="0"/>
        <w:keepLines w:val="0"/>
        <w:pageBreakBefore w:val="0"/>
        <w:widowControl w:val="0"/>
        <w:shd w:val="clear" w:color="auto" w:fill="auto"/>
        <w:kinsoku/>
        <w:wordWrap/>
        <w:overflowPunct/>
        <w:topLinePunct w:val="0"/>
        <w:autoSpaceDE w:val="0"/>
        <w:autoSpaceDN w:val="0"/>
        <w:bidi w:val="0"/>
        <w:adjustRightInd/>
        <w:snapToGrid/>
        <w:spacing w:line="48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left"/>
        <w:textAlignment w:val="auto"/>
        <w:rPr>
          <w:rFonts w:hint="eastAsia" w:ascii="仿宋" w:hAnsi="仿宋" w:eastAsia="仿宋" w:cs="仿宋"/>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3200" w:firstLineChars="1000"/>
        <w:jc w:val="left"/>
        <w:textAlignment w:val="auto"/>
        <w:rPr>
          <w:rFonts w:hint="eastAsia" w:ascii="仿宋" w:hAnsi="仿宋" w:eastAsia="仿宋" w:cs="仿宋"/>
          <w:color w:val="0F0F0F"/>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3200" w:firstLineChars="1000"/>
        <w:jc w:val="left"/>
        <w:textAlignment w:val="auto"/>
        <w:rPr>
          <w:rFonts w:hint="eastAsia" w:ascii="仿宋" w:hAnsi="仿宋" w:eastAsia="仿宋" w:cs="仿宋"/>
          <w:color w:val="0F0F0F"/>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4160" w:firstLineChars="1300"/>
        <w:jc w:val="left"/>
        <w:textAlignment w:val="auto"/>
        <w:rPr>
          <w:rFonts w:hint="eastAsia" w:ascii="仿宋" w:hAnsi="仿宋" w:eastAsia="仿宋" w:cs="仿宋"/>
          <w:color w:val="0F0F0F"/>
          <w:sz w:val="32"/>
          <w:szCs w:val="32"/>
          <w:lang w:val="en-US" w:eastAsia="zh-CN"/>
        </w:rPr>
      </w:pPr>
      <w:r>
        <w:rPr>
          <w:rFonts w:hint="eastAsia" w:ascii="仿宋" w:hAnsi="仿宋" w:eastAsia="仿宋" w:cs="仿宋"/>
          <w:color w:val="0F0F0F"/>
          <w:sz w:val="32"/>
          <w:szCs w:val="32"/>
          <w:lang w:val="en-US" w:eastAsia="zh-CN"/>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4160" w:firstLineChars="1300"/>
        <w:jc w:val="left"/>
        <w:textAlignment w:val="auto"/>
        <w:rPr>
          <w:rFonts w:hint="eastAsia" w:ascii="仿宋" w:hAnsi="仿宋" w:eastAsia="仿宋" w:cs="仿宋"/>
          <w:color w:val="0F0F0F"/>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4160" w:firstLineChars="1300"/>
        <w:jc w:val="left"/>
        <w:textAlignment w:val="auto"/>
        <w:rPr>
          <w:rFonts w:hint="eastAsia" w:ascii="仿宋" w:hAnsi="仿宋" w:eastAsia="仿宋" w:cs="仿宋"/>
          <w:color w:val="0F0F0F"/>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4160" w:firstLineChars="1300"/>
        <w:jc w:val="left"/>
        <w:textAlignment w:val="auto"/>
        <w:rPr>
          <w:rFonts w:hint="eastAsia" w:ascii="仿宋" w:hAnsi="仿宋" w:eastAsia="仿宋" w:cs="仿宋"/>
          <w:color w:val="0F0F0F"/>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jc w:val="left"/>
        <w:textAlignment w:val="auto"/>
        <w:rPr>
          <w:rFonts w:hint="default" w:ascii="仿宋" w:hAnsi="仿宋" w:eastAsia="仿宋" w:cs="仿宋"/>
          <w:color w:val="0F0F0F"/>
          <w:sz w:val="32"/>
          <w:szCs w:val="32"/>
          <w:lang w:val="en-US" w:eastAsia="zh-CN"/>
        </w:rPr>
      </w:pPr>
      <w:bookmarkStart w:id="0" w:name="_GoBack"/>
      <w:bookmarkEnd w:id="0"/>
      <w:r>
        <w:rPr>
          <w:rFonts w:hint="eastAsia" w:ascii="仿宋" w:hAnsi="仿宋" w:eastAsia="仿宋" w:cs="仿宋"/>
          <w:color w:val="0F0F0F"/>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wYWUzZTA0MzZhNGE4ZmIzNmY2NzIwYzhmYThhNzMifQ=="/>
  </w:docVars>
  <w:rsids>
    <w:rsidRoot w:val="00000000"/>
    <w:rsid w:val="002513B5"/>
    <w:rsid w:val="00347066"/>
    <w:rsid w:val="01A11B93"/>
    <w:rsid w:val="02B95BD3"/>
    <w:rsid w:val="03291CED"/>
    <w:rsid w:val="041F210F"/>
    <w:rsid w:val="043A53A9"/>
    <w:rsid w:val="044C5F4E"/>
    <w:rsid w:val="04843053"/>
    <w:rsid w:val="048868B6"/>
    <w:rsid w:val="05BF19C9"/>
    <w:rsid w:val="05D77DD2"/>
    <w:rsid w:val="06463453"/>
    <w:rsid w:val="06F4792E"/>
    <w:rsid w:val="06F72A5A"/>
    <w:rsid w:val="077509A8"/>
    <w:rsid w:val="07E33DF1"/>
    <w:rsid w:val="07E41C16"/>
    <w:rsid w:val="08FE3309"/>
    <w:rsid w:val="092B4ECE"/>
    <w:rsid w:val="09F7219F"/>
    <w:rsid w:val="0A1062BE"/>
    <w:rsid w:val="0A3C0726"/>
    <w:rsid w:val="0A625546"/>
    <w:rsid w:val="0A836FCA"/>
    <w:rsid w:val="0A877A21"/>
    <w:rsid w:val="0A8F584F"/>
    <w:rsid w:val="0AE76F8C"/>
    <w:rsid w:val="0BEB0F13"/>
    <w:rsid w:val="0C110988"/>
    <w:rsid w:val="0CA92FDD"/>
    <w:rsid w:val="0D5C5465"/>
    <w:rsid w:val="0EAD3AE3"/>
    <w:rsid w:val="0FC226C6"/>
    <w:rsid w:val="0FD53E24"/>
    <w:rsid w:val="103956FF"/>
    <w:rsid w:val="121E2986"/>
    <w:rsid w:val="12EE58D6"/>
    <w:rsid w:val="13170DAB"/>
    <w:rsid w:val="13446A05"/>
    <w:rsid w:val="15EA2916"/>
    <w:rsid w:val="1670687C"/>
    <w:rsid w:val="16744381"/>
    <w:rsid w:val="167809CA"/>
    <w:rsid w:val="169656D6"/>
    <w:rsid w:val="16FE78A4"/>
    <w:rsid w:val="18034C6B"/>
    <w:rsid w:val="18817038"/>
    <w:rsid w:val="19F8244E"/>
    <w:rsid w:val="1A6C46D4"/>
    <w:rsid w:val="1AF24C94"/>
    <w:rsid w:val="1B0F4AA1"/>
    <w:rsid w:val="1BE0187D"/>
    <w:rsid w:val="1C69621F"/>
    <w:rsid w:val="1D0A29BF"/>
    <w:rsid w:val="1D8A0C0E"/>
    <w:rsid w:val="1DC35AC0"/>
    <w:rsid w:val="1E3557DA"/>
    <w:rsid w:val="1E4553A4"/>
    <w:rsid w:val="1E8D2F64"/>
    <w:rsid w:val="1EC505D1"/>
    <w:rsid w:val="1F287739"/>
    <w:rsid w:val="1F5303CF"/>
    <w:rsid w:val="1F8E0573"/>
    <w:rsid w:val="213B1035"/>
    <w:rsid w:val="2232720E"/>
    <w:rsid w:val="22C10C5A"/>
    <w:rsid w:val="237E070E"/>
    <w:rsid w:val="25CB1A62"/>
    <w:rsid w:val="26D50A54"/>
    <w:rsid w:val="27231242"/>
    <w:rsid w:val="27463895"/>
    <w:rsid w:val="277509A5"/>
    <w:rsid w:val="27B725D4"/>
    <w:rsid w:val="27FF5CD1"/>
    <w:rsid w:val="288178F1"/>
    <w:rsid w:val="28A65213"/>
    <w:rsid w:val="28AF0EA1"/>
    <w:rsid w:val="28E82337"/>
    <w:rsid w:val="295618E7"/>
    <w:rsid w:val="2969316C"/>
    <w:rsid w:val="2B09137F"/>
    <w:rsid w:val="2B7D3DF1"/>
    <w:rsid w:val="2BE27A8A"/>
    <w:rsid w:val="2C42255F"/>
    <w:rsid w:val="2C705407"/>
    <w:rsid w:val="2CFE3966"/>
    <w:rsid w:val="2D5B1D65"/>
    <w:rsid w:val="2D5D0138"/>
    <w:rsid w:val="2E3A2354"/>
    <w:rsid w:val="2E537F0A"/>
    <w:rsid w:val="2E9B1282"/>
    <w:rsid w:val="2F2972A2"/>
    <w:rsid w:val="2F2D094D"/>
    <w:rsid w:val="2F8F3C33"/>
    <w:rsid w:val="2FE20328"/>
    <w:rsid w:val="3016306F"/>
    <w:rsid w:val="303C7B57"/>
    <w:rsid w:val="31A40CEB"/>
    <w:rsid w:val="31AD76C0"/>
    <w:rsid w:val="32A60F17"/>
    <w:rsid w:val="32B273DE"/>
    <w:rsid w:val="32BC1070"/>
    <w:rsid w:val="32C94316"/>
    <w:rsid w:val="3327480B"/>
    <w:rsid w:val="334D1431"/>
    <w:rsid w:val="33712F8A"/>
    <w:rsid w:val="33B05CC0"/>
    <w:rsid w:val="33CA797B"/>
    <w:rsid w:val="34A450AE"/>
    <w:rsid w:val="34A52FA9"/>
    <w:rsid w:val="34F37C07"/>
    <w:rsid w:val="350C7873"/>
    <w:rsid w:val="366F02A2"/>
    <w:rsid w:val="37652C4A"/>
    <w:rsid w:val="377459A3"/>
    <w:rsid w:val="378F4A6C"/>
    <w:rsid w:val="387A1F44"/>
    <w:rsid w:val="397F214B"/>
    <w:rsid w:val="3A7B2257"/>
    <w:rsid w:val="3BB4219B"/>
    <w:rsid w:val="3C424734"/>
    <w:rsid w:val="3C5B36E3"/>
    <w:rsid w:val="3C69241E"/>
    <w:rsid w:val="3CED1835"/>
    <w:rsid w:val="3D1D503D"/>
    <w:rsid w:val="3D3B6A04"/>
    <w:rsid w:val="3D6D73DF"/>
    <w:rsid w:val="3D9B595E"/>
    <w:rsid w:val="3DBA3D87"/>
    <w:rsid w:val="3DC012C9"/>
    <w:rsid w:val="3E1D143E"/>
    <w:rsid w:val="3E2260B6"/>
    <w:rsid w:val="3E5D6670"/>
    <w:rsid w:val="3ED15882"/>
    <w:rsid w:val="3FF46849"/>
    <w:rsid w:val="40CB6269"/>
    <w:rsid w:val="40FE3C0F"/>
    <w:rsid w:val="410E2093"/>
    <w:rsid w:val="41465546"/>
    <w:rsid w:val="41807918"/>
    <w:rsid w:val="41DD6CB8"/>
    <w:rsid w:val="42790673"/>
    <w:rsid w:val="428F46CD"/>
    <w:rsid w:val="42BE70DD"/>
    <w:rsid w:val="42C125B7"/>
    <w:rsid w:val="42C559B7"/>
    <w:rsid w:val="430969E3"/>
    <w:rsid w:val="432F1F0F"/>
    <w:rsid w:val="43321F30"/>
    <w:rsid w:val="44B13977"/>
    <w:rsid w:val="44D362FF"/>
    <w:rsid w:val="451B7CE6"/>
    <w:rsid w:val="459205E1"/>
    <w:rsid w:val="45B41E6B"/>
    <w:rsid w:val="47597725"/>
    <w:rsid w:val="481923D3"/>
    <w:rsid w:val="49CC223F"/>
    <w:rsid w:val="4AAB26CD"/>
    <w:rsid w:val="4BD67E84"/>
    <w:rsid w:val="4C393319"/>
    <w:rsid w:val="4CBA1C14"/>
    <w:rsid w:val="4CDC0B83"/>
    <w:rsid w:val="4CF7484F"/>
    <w:rsid w:val="4D2C63B3"/>
    <w:rsid w:val="4D7C152E"/>
    <w:rsid w:val="50234A5A"/>
    <w:rsid w:val="50C12550"/>
    <w:rsid w:val="50F02BD5"/>
    <w:rsid w:val="523F1BC3"/>
    <w:rsid w:val="52525CC8"/>
    <w:rsid w:val="52EF592F"/>
    <w:rsid w:val="53005100"/>
    <w:rsid w:val="538271A5"/>
    <w:rsid w:val="54343734"/>
    <w:rsid w:val="555D7D86"/>
    <w:rsid w:val="55DE27B3"/>
    <w:rsid w:val="567B4914"/>
    <w:rsid w:val="56A01CC4"/>
    <w:rsid w:val="56AC5315"/>
    <w:rsid w:val="571D3E4F"/>
    <w:rsid w:val="575E3A3B"/>
    <w:rsid w:val="577070FC"/>
    <w:rsid w:val="578555ED"/>
    <w:rsid w:val="57E72614"/>
    <w:rsid w:val="57F7686D"/>
    <w:rsid w:val="58005BBB"/>
    <w:rsid w:val="581A3F08"/>
    <w:rsid w:val="585B66FF"/>
    <w:rsid w:val="58BD5BF2"/>
    <w:rsid w:val="58F1142E"/>
    <w:rsid w:val="59122438"/>
    <w:rsid w:val="599D6AD1"/>
    <w:rsid w:val="59DB5F97"/>
    <w:rsid w:val="5A585397"/>
    <w:rsid w:val="5ACC5549"/>
    <w:rsid w:val="5B0B5108"/>
    <w:rsid w:val="5B26676B"/>
    <w:rsid w:val="5BA6690E"/>
    <w:rsid w:val="5D03717C"/>
    <w:rsid w:val="5D9D5983"/>
    <w:rsid w:val="5E582A61"/>
    <w:rsid w:val="5E8720EC"/>
    <w:rsid w:val="5E8825DA"/>
    <w:rsid w:val="5F3A0CBA"/>
    <w:rsid w:val="5F547E2D"/>
    <w:rsid w:val="5FD948BC"/>
    <w:rsid w:val="60B8280B"/>
    <w:rsid w:val="613F7F57"/>
    <w:rsid w:val="617C2B6E"/>
    <w:rsid w:val="61DD761B"/>
    <w:rsid w:val="61F2326B"/>
    <w:rsid w:val="623B75D0"/>
    <w:rsid w:val="628C2F5D"/>
    <w:rsid w:val="631A6000"/>
    <w:rsid w:val="632A3808"/>
    <w:rsid w:val="63461232"/>
    <w:rsid w:val="6375400B"/>
    <w:rsid w:val="65244BFC"/>
    <w:rsid w:val="6563725C"/>
    <w:rsid w:val="66025A2E"/>
    <w:rsid w:val="66796E9E"/>
    <w:rsid w:val="66857815"/>
    <w:rsid w:val="678C08C6"/>
    <w:rsid w:val="67CF364E"/>
    <w:rsid w:val="67DE7A08"/>
    <w:rsid w:val="67FB2BCA"/>
    <w:rsid w:val="68FB36AC"/>
    <w:rsid w:val="691B53E4"/>
    <w:rsid w:val="69276EB4"/>
    <w:rsid w:val="6AC86105"/>
    <w:rsid w:val="6B9655A9"/>
    <w:rsid w:val="6BDF018A"/>
    <w:rsid w:val="6C3C001A"/>
    <w:rsid w:val="6C611FF8"/>
    <w:rsid w:val="6C8C1DA4"/>
    <w:rsid w:val="6D15738A"/>
    <w:rsid w:val="6D596380"/>
    <w:rsid w:val="6D5A77E1"/>
    <w:rsid w:val="6E7F1A49"/>
    <w:rsid w:val="6F020EDB"/>
    <w:rsid w:val="6F0316F7"/>
    <w:rsid w:val="6FF51B0D"/>
    <w:rsid w:val="6FF922D5"/>
    <w:rsid w:val="701F0D82"/>
    <w:rsid w:val="7032205C"/>
    <w:rsid w:val="70927394"/>
    <w:rsid w:val="712A025F"/>
    <w:rsid w:val="71D63616"/>
    <w:rsid w:val="73164CE7"/>
    <w:rsid w:val="731A3551"/>
    <w:rsid w:val="738D6BCC"/>
    <w:rsid w:val="73C74835"/>
    <w:rsid w:val="7437343A"/>
    <w:rsid w:val="759F6C83"/>
    <w:rsid w:val="75E0698D"/>
    <w:rsid w:val="76771F09"/>
    <w:rsid w:val="772C6F5B"/>
    <w:rsid w:val="77442CA3"/>
    <w:rsid w:val="77A3294A"/>
    <w:rsid w:val="78092C0F"/>
    <w:rsid w:val="786155D9"/>
    <w:rsid w:val="78FA0488"/>
    <w:rsid w:val="794F0781"/>
    <w:rsid w:val="79642F98"/>
    <w:rsid w:val="7A8138F0"/>
    <w:rsid w:val="7B4D3548"/>
    <w:rsid w:val="7C2D5AD5"/>
    <w:rsid w:val="7C614463"/>
    <w:rsid w:val="7E105257"/>
    <w:rsid w:val="7F6D72B4"/>
    <w:rsid w:val="7FF82D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pPr>
    <w:rPr>
      <w:rFonts w:hint="eastAsia" w:ascii="微软雅黑" w:hAnsi="微软雅黑" w:eastAsia="微软雅黑" w:cs="微软雅黑"/>
      <w:b/>
      <w:kern w:val="44"/>
      <w:sz w:val="18"/>
      <w:szCs w:val="18"/>
      <w:lang w:val="en-US" w:eastAsia="zh-CN" w:bidi="ar"/>
    </w:rPr>
  </w:style>
  <w:style w:type="paragraph" w:styleId="3">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pPr>
    <w:rPr>
      <w:rFonts w:hint="eastAsia" w:ascii="微软雅黑" w:hAnsi="微软雅黑" w:eastAsia="微软雅黑" w:cs="微软雅黑"/>
      <w:b/>
      <w:kern w:val="0"/>
      <w:sz w:val="18"/>
      <w:szCs w:val="18"/>
      <w:lang w:val="en-US" w:eastAsia="zh-CN" w:bidi="ar"/>
    </w:rPr>
  </w:style>
  <w:style w:type="paragraph" w:styleId="4">
    <w:name w:val="heading 4"/>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pPr>
    <w:rPr>
      <w:rFonts w:hint="eastAsia" w:ascii="微软雅黑" w:hAnsi="微软雅黑" w:eastAsia="微软雅黑" w:cs="微软雅黑"/>
      <w:b/>
      <w:kern w:val="0"/>
      <w:sz w:val="18"/>
      <w:szCs w:val="1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sz w:val="32"/>
      <w:szCs w:val="32"/>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pPr>
    <w:rPr>
      <w:rFonts w:ascii="微软雅黑" w:hAnsi="微软雅黑" w:eastAsia="微软雅黑" w:cs="微软雅黑"/>
      <w:kern w:val="0"/>
      <w:sz w:val="18"/>
      <w:szCs w:val="18"/>
      <w:lang w:val="en-US" w:eastAsia="zh-CN" w:bidi="ar"/>
    </w:rPr>
  </w:style>
  <w:style w:type="character" w:styleId="9">
    <w:name w:val="FollowedHyperlink"/>
    <w:basedOn w:val="8"/>
    <w:qFormat/>
    <w:uiPriority w:val="0"/>
    <w:rPr>
      <w:color w:val="0F0F0F"/>
      <w:u w:val="none"/>
    </w:rPr>
  </w:style>
  <w:style w:type="character" w:styleId="10">
    <w:name w:val="Emphasis"/>
    <w:basedOn w:val="8"/>
    <w:qFormat/>
    <w:uiPriority w:val="0"/>
  </w:style>
  <w:style w:type="character" w:styleId="11">
    <w:name w:val="Hyperlink"/>
    <w:basedOn w:val="8"/>
    <w:qFormat/>
    <w:uiPriority w:val="0"/>
    <w:rPr>
      <w:color w:val="0F0F0F"/>
      <w:u w:val="none"/>
    </w:rPr>
  </w:style>
  <w:style w:type="paragraph" w:customStyle="1" w:styleId="12">
    <w:name w:val="author"/>
    <w:basedOn w:val="1"/>
    <w:qFormat/>
    <w:uiPriority w:val="0"/>
    <w:pPr>
      <w:jc w:val="left"/>
    </w:pPr>
    <w:rPr>
      <w:rFonts w:ascii="微软雅黑" w:hAnsi="微软雅黑" w:eastAsia="微软雅黑" w:cs="微软雅黑"/>
      <w:kern w:val="0"/>
      <w:sz w:val="24"/>
      <w:szCs w:val="24"/>
      <w:lang w:val="en-US" w:eastAsia="zh-CN" w:bidi="ar"/>
    </w:rPr>
  </w:style>
  <w:style w:type="character" w:customStyle="1" w:styleId="13">
    <w:name w:val="one"/>
    <w:basedOn w:val="8"/>
    <w:qFormat/>
    <w:uiPriority w:val="0"/>
    <w:rPr>
      <w:color w:val="003366"/>
    </w:rPr>
  </w:style>
  <w:style w:type="character" w:customStyle="1" w:styleId="14">
    <w:name w:val="ops_tit1"/>
    <w:basedOn w:val="8"/>
    <w:qFormat/>
    <w:uiPriority w:val="0"/>
    <w:rPr>
      <w:color w:val="66666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2250</Words>
  <Characters>2384</Characters>
  <Lines>0</Lines>
  <Paragraphs>0</Paragraphs>
  <TotalTime>4</TotalTime>
  <ScaleCrop>false</ScaleCrop>
  <LinksUpToDate>false</LinksUpToDate>
  <CharactersWithSpaces>2434</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xjspyp</dc:creator>
  <cp:lastModifiedBy>Administrator</cp:lastModifiedBy>
  <cp:lastPrinted>2019-09-16T09:19:00Z</cp:lastPrinted>
  <dcterms:modified xsi:type="dcterms:W3CDTF">2024-03-28T09:09:31Z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319FD7D23C42468C9701AE63C09B1688</vt:lpwstr>
  </property>
</Properties>
</file>